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9D9A" w14:textId="77777777" w:rsidR="005234C3" w:rsidRPr="008357B3" w:rsidRDefault="00E855FE" w:rsidP="005234C3">
      <w:pPr>
        <w:spacing w:after="120"/>
        <w:rPr>
          <w:lang w:val="en-US"/>
        </w:rPr>
      </w:pPr>
      <w:r w:rsidRPr="008357B3">
        <w:rPr>
          <w:sz w:val="22"/>
          <w:szCs w:val="22"/>
          <w:lang w:val="en-US"/>
        </w:rPr>
        <w:tab/>
      </w:r>
      <w:r w:rsidR="005234C3" w:rsidRPr="008357B3">
        <w:rPr>
          <w:lang w:val="en-US"/>
        </w:rPr>
        <w:t xml:space="preserve">№ ___ </w:t>
      </w:r>
      <w:r w:rsidR="00024903" w:rsidRPr="008357B3">
        <w:rPr>
          <w:lang w:val="en-US"/>
        </w:rPr>
        <w:t>from</w:t>
      </w:r>
      <w:r w:rsidR="005234C3" w:rsidRPr="008357B3">
        <w:rPr>
          <w:lang w:val="en-US"/>
        </w:rPr>
        <w:t xml:space="preserve"> «____» ________20__ р.                                                 </w:t>
      </w:r>
    </w:p>
    <w:tbl>
      <w:tblPr>
        <w:tblW w:w="0" w:type="auto"/>
        <w:tblLook w:val="04A0" w:firstRow="1" w:lastRow="0" w:firstColumn="1" w:lastColumn="0" w:noHBand="0" w:noVBand="1"/>
      </w:tblPr>
      <w:tblGrid>
        <w:gridCol w:w="4774"/>
        <w:gridCol w:w="4864"/>
      </w:tblGrid>
      <w:tr w:rsidR="008357B3" w:rsidRPr="006318B9" w14:paraId="41A72D70" w14:textId="77777777" w:rsidTr="00DF353A">
        <w:tc>
          <w:tcPr>
            <w:tcW w:w="4887" w:type="dxa"/>
          </w:tcPr>
          <w:p w14:paraId="396EE6E6" w14:textId="77777777" w:rsidR="00451DD8" w:rsidRPr="008357B3" w:rsidRDefault="00451DD8" w:rsidP="005B1A7D">
            <w:pPr>
              <w:spacing w:after="120"/>
              <w:rPr>
                <w:lang w:val="en-US"/>
              </w:rPr>
            </w:pPr>
          </w:p>
        </w:tc>
        <w:tc>
          <w:tcPr>
            <w:tcW w:w="4967" w:type="dxa"/>
          </w:tcPr>
          <w:p w14:paraId="6E9CEA1B" w14:textId="77777777" w:rsidR="00024903" w:rsidRPr="008357B3" w:rsidRDefault="00024903" w:rsidP="00792234">
            <w:pPr>
              <w:jc w:val="right"/>
              <w:rPr>
                <w:lang w:val="en-US"/>
              </w:rPr>
            </w:pPr>
            <w:r w:rsidRPr="008357B3">
              <w:rPr>
                <w:lang w:val="en-US"/>
              </w:rPr>
              <w:t>Director</w:t>
            </w:r>
          </w:p>
          <w:p w14:paraId="14CE04DF" w14:textId="77777777" w:rsidR="00451DD8" w:rsidRPr="008357B3" w:rsidRDefault="00D26808" w:rsidP="00D26808">
            <w:pPr>
              <w:jc w:val="right"/>
              <w:rPr>
                <w:lang w:val="en-US"/>
              </w:rPr>
            </w:pPr>
            <w:r w:rsidRPr="008357B3">
              <w:rPr>
                <w:lang w:val="en-US" w:eastAsia="uk-UA"/>
              </w:rPr>
              <w:t>State Enterprise "Central Laboratory for Quality Control of Medicines and Medical Products"</w:t>
            </w:r>
          </w:p>
          <w:p w14:paraId="3E9DAA9D" w14:textId="24A4078B" w:rsidR="00451DD8" w:rsidRPr="008357B3" w:rsidRDefault="00451DD8" w:rsidP="005B1A7D">
            <w:pPr>
              <w:jc w:val="right"/>
              <w:rPr>
                <w:lang w:val="en-US"/>
              </w:rPr>
            </w:pPr>
          </w:p>
        </w:tc>
      </w:tr>
    </w:tbl>
    <w:p w14:paraId="45870AD0" w14:textId="77777777" w:rsidR="00D26808" w:rsidRPr="008357B3" w:rsidRDefault="00D26808" w:rsidP="00792234">
      <w:pPr>
        <w:rPr>
          <w:lang w:val="en-US"/>
        </w:rPr>
      </w:pPr>
      <w:r w:rsidRPr="008357B3">
        <w:rPr>
          <w:lang w:val="en-US"/>
        </w:rPr>
        <w:t>Please analyze the sample/samples</w:t>
      </w:r>
      <w:r w:rsidR="005E18CF" w:rsidRPr="008357B3">
        <w:rPr>
          <w:lang w:val="en-US"/>
        </w:rPr>
        <w:t>:</w:t>
      </w:r>
    </w:p>
    <w:p w14:paraId="68B6A155" w14:textId="253F0B85" w:rsidR="005E18CF" w:rsidRPr="008357B3" w:rsidRDefault="00D26808" w:rsidP="002D60D7">
      <w:pPr>
        <w:spacing w:after="240"/>
        <w:rPr>
          <w:lang w:val="uk-UA"/>
        </w:rPr>
      </w:pPr>
      <w:r w:rsidRPr="008357B3">
        <w:rPr>
          <w:lang w:val="en-US"/>
        </w:rPr>
        <w:t>Type</w:t>
      </w:r>
      <w:r w:rsidR="00D75EEC" w:rsidRPr="008357B3">
        <w:rPr>
          <w:lang w:val="en-US"/>
        </w:rPr>
        <w:t xml:space="preserve">: </w:t>
      </w:r>
      <w:r w:rsidRPr="008357B3">
        <w:rPr>
          <w:lang w:val="en-US"/>
        </w:rPr>
        <w:t>medicines, medical products,</w:t>
      </w:r>
      <w:r w:rsidR="00D0756C" w:rsidRPr="008357B3">
        <w:rPr>
          <w:lang w:val="en-US"/>
        </w:rPr>
        <w:t xml:space="preserve"> </w:t>
      </w:r>
      <w:r w:rsidRPr="008357B3">
        <w:rPr>
          <w:lang w:val="en-US"/>
        </w:rPr>
        <w:t>cosmetic products</w:t>
      </w:r>
      <w:r w:rsidR="00BA0DDB" w:rsidRPr="008357B3">
        <w:rPr>
          <w:lang w:val="en-US"/>
        </w:rPr>
        <w:t xml:space="preserve">, </w:t>
      </w:r>
      <w:r w:rsidRPr="008357B3">
        <w:rPr>
          <w:lang w:val="en-US"/>
        </w:rPr>
        <w:t>dietary supplement, other:</w:t>
      </w:r>
      <w:r w:rsidR="00D75EEC" w:rsidRPr="008357B3">
        <w:rPr>
          <w:lang w:val="en-US"/>
        </w:rPr>
        <w:t xml:space="preserve"> </w:t>
      </w:r>
      <w:r w:rsidR="005E18CF" w:rsidRPr="008357B3">
        <w:rPr>
          <w:lang w:val="en-US"/>
        </w:rPr>
        <w:t>_______________</w:t>
      </w:r>
      <w:r w:rsidR="00783B36" w:rsidRPr="008357B3">
        <w:rPr>
          <w:lang w:val="en-US"/>
        </w:rPr>
        <w:t>___________</w:t>
      </w:r>
      <w:r w:rsidR="005E18CF" w:rsidRPr="008357B3">
        <w:rPr>
          <w:lang w:val="en-US"/>
        </w:rPr>
        <w:t>___________</w:t>
      </w:r>
      <w:r w:rsidR="00BA0DDB" w:rsidRPr="008357B3">
        <w:rPr>
          <w:lang w:val="en-US"/>
        </w:rPr>
        <w:t>____</w:t>
      </w:r>
      <w:r w:rsidR="00783B36" w:rsidRPr="008357B3">
        <w:rPr>
          <w:lang w:val="en-US"/>
        </w:rPr>
        <w:t>_</w:t>
      </w:r>
      <w:r w:rsidR="00BA0DDB" w:rsidRPr="008357B3">
        <w:rPr>
          <w:lang w:val="en-US"/>
        </w:rPr>
        <w:t>_____________________</w:t>
      </w:r>
      <w:r w:rsidRPr="008357B3">
        <w:rPr>
          <w:lang w:val="en-US"/>
        </w:rPr>
        <w:t>____</w:t>
      </w:r>
      <w:r w:rsidR="00BA0DDB" w:rsidRPr="008357B3">
        <w:rPr>
          <w:lang w:val="en-US"/>
        </w:rPr>
        <w:t>___________</w:t>
      </w:r>
      <w:r w:rsidR="00D0756C" w:rsidRPr="008357B3">
        <w:rPr>
          <w:lang w:val="en-US"/>
        </w:rPr>
        <w:t>_</w:t>
      </w:r>
      <w:r w:rsidR="009A0186" w:rsidRPr="008357B3">
        <w:rPr>
          <w:lang w:val="en-US"/>
        </w:rPr>
        <w:t>____</w:t>
      </w:r>
      <w:r w:rsidR="00D0756C" w:rsidRPr="008357B3">
        <w:rPr>
          <w:lang w:val="en-US"/>
        </w:rPr>
        <w:t>___</w:t>
      </w:r>
      <w:r w:rsidR="008357B3">
        <w:rPr>
          <w:lang w:val="uk-UA"/>
        </w:rPr>
        <w:t>__________</w:t>
      </w:r>
    </w:p>
    <w:p w14:paraId="41581691" w14:textId="27126C90" w:rsidR="005E18CF" w:rsidRPr="008357B3" w:rsidRDefault="00D26808" w:rsidP="002D60D7">
      <w:pPr>
        <w:spacing w:after="240"/>
        <w:rPr>
          <w:lang w:val="en-US"/>
        </w:rPr>
      </w:pPr>
      <w:r w:rsidRPr="008357B3">
        <w:rPr>
          <w:lang w:val="en-US"/>
        </w:rPr>
        <w:t>Name</w:t>
      </w:r>
      <w:r w:rsidR="008357B3">
        <w:rPr>
          <w:lang w:val="uk-UA"/>
        </w:rPr>
        <w:t>:</w:t>
      </w:r>
      <w:r w:rsidR="00D75EEC" w:rsidRPr="008357B3">
        <w:rPr>
          <w:lang w:val="en-US"/>
        </w:rPr>
        <w:t xml:space="preserve"> </w:t>
      </w:r>
      <w:r w:rsidR="005E18CF" w:rsidRPr="008357B3">
        <w:rPr>
          <w:lang w:val="en-US"/>
        </w:rPr>
        <w:t>_______________________</w:t>
      </w:r>
      <w:r w:rsidR="00783B36" w:rsidRPr="008357B3">
        <w:rPr>
          <w:lang w:val="en-US"/>
        </w:rPr>
        <w:t>___________</w:t>
      </w:r>
      <w:r w:rsidR="005E18CF" w:rsidRPr="008357B3">
        <w:rPr>
          <w:lang w:val="en-US"/>
        </w:rPr>
        <w:t>_______________________________________</w:t>
      </w:r>
      <w:r w:rsidR="009A0186" w:rsidRPr="008357B3">
        <w:rPr>
          <w:lang w:val="en-US"/>
        </w:rPr>
        <w:t>____</w:t>
      </w:r>
      <w:r w:rsidR="005E18CF" w:rsidRPr="008357B3">
        <w:rPr>
          <w:lang w:val="en-US"/>
        </w:rPr>
        <w:t>___</w:t>
      </w:r>
      <w:r w:rsidR="008357B3">
        <w:rPr>
          <w:lang w:val="uk-UA"/>
        </w:rPr>
        <w:t>_________</w:t>
      </w:r>
      <w:r w:rsidR="005E18CF" w:rsidRPr="008357B3">
        <w:rPr>
          <w:lang w:val="en-US"/>
        </w:rPr>
        <w:t>_</w:t>
      </w:r>
    </w:p>
    <w:p w14:paraId="6B668699" w14:textId="62C10629" w:rsidR="00F83C0A" w:rsidRPr="008357B3" w:rsidRDefault="00D26808" w:rsidP="002D60D7">
      <w:pPr>
        <w:spacing w:after="240"/>
        <w:rPr>
          <w:lang w:val="uk-UA"/>
        </w:rPr>
      </w:pPr>
      <w:r w:rsidRPr="008357B3">
        <w:rPr>
          <w:lang w:val="en-US"/>
        </w:rPr>
        <w:t>Manufacturer</w:t>
      </w:r>
      <w:r w:rsidR="008357B3">
        <w:rPr>
          <w:lang w:val="uk-UA"/>
        </w:rPr>
        <w:t xml:space="preserve">: </w:t>
      </w:r>
      <w:r w:rsidR="00BA0DDB" w:rsidRPr="008357B3">
        <w:rPr>
          <w:lang w:val="en-US"/>
        </w:rPr>
        <w:t>_______________________________________</w:t>
      </w:r>
      <w:r w:rsidR="00783B36" w:rsidRPr="008357B3">
        <w:rPr>
          <w:lang w:val="en-US"/>
        </w:rPr>
        <w:t>___________</w:t>
      </w:r>
      <w:r w:rsidR="00BA0DDB" w:rsidRPr="008357B3">
        <w:rPr>
          <w:lang w:val="en-US"/>
        </w:rPr>
        <w:t>___________</w:t>
      </w:r>
      <w:r w:rsidR="00D75EEC" w:rsidRPr="008357B3">
        <w:rPr>
          <w:lang w:val="en-US"/>
        </w:rPr>
        <w:t>_</w:t>
      </w:r>
      <w:r w:rsidR="00BA0DDB" w:rsidRPr="008357B3">
        <w:rPr>
          <w:lang w:val="en-US"/>
        </w:rPr>
        <w:t>__________</w:t>
      </w:r>
      <w:r w:rsidR="009A0186" w:rsidRPr="008357B3">
        <w:rPr>
          <w:lang w:val="en-US"/>
        </w:rPr>
        <w:t>__</w:t>
      </w:r>
      <w:r w:rsidR="00BA0DDB" w:rsidRPr="008357B3">
        <w:rPr>
          <w:lang w:val="en-US"/>
        </w:rPr>
        <w:t>__</w:t>
      </w:r>
      <w:r w:rsidR="008357B3">
        <w:rPr>
          <w:lang w:val="uk-UA"/>
        </w:rPr>
        <w:t>________</w:t>
      </w:r>
    </w:p>
    <w:p w14:paraId="57469830" w14:textId="06FF21DE" w:rsidR="00F83C0A" w:rsidRPr="008357B3" w:rsidRDefault="00F83C0A" w:rsidP="002D60D7">
      <w:pPr>
        <w:spacing w:after="240"/>
        <w:rPr>
          <w:lang w:val="uk-UA"/>
        </w:rPr>
      </w:pPr>
      <w:r w:rsidRPr="008357B3">
        <w:rPr>
          <w:lang w:val="en-US"/>
        </w:rPr>
        <w:t>medicinal (or other) form</w:t>
      </w:r>
      <w:r w:rsidR="005E18CF" w:rsidRPr="008357B3">
        <w:rPr>
          <w:lang w:val="en-US"/>
        </w:rPr>
        <w:t>:</w:t>
      </w:r>
      <w:r w:rsidR="00D75EEC" w:rsidRPr="008357B3">
        <w:rPr>
          <w:lang w:val="en-US"/>
        </w:rPr>
        <w:t xml:space="preserve"> </w:t>
      </w:r>
      <w:r w:rsidR="005E18CF" w:rsidRPr="008357B3">
        <w:rPr>
          <w:lang w:val="en-US"/>
        </w:rPr>
        <w:t>_________________________</w:t>
      </w:r>
      <w:r w:rsidR="00783B36" w:rsidRPr="008357B3">
        <w:rPr>
          <w:lang w:val="en-US"/>
        </w:rPr>
        <w:t>____________</w:t>
      </w:r>
      <w:r w:rsidR="005E18CF" w:rsidRPr="008357B3">
        <w:rPr>
          <w:lang w:val="en-US"/>
        </w:rPr>
        <w:t>____________</w:t>
      </w:r>
      <w:r w:rsidR="00D75EEC" w:rsidRPr="008357B3">
        <w:rPr>
          <w:lang w:val="en-US"/>
        </w:rPr>
        <w:t>_</w:t>
      </w:r>
      <w:r w:rsidR="005E18CF" w:rsidRPr="008357B3">
        <w:rPr>
          <w:lang w:val="en-US"/>
        </w:rPr>
        <w:t>__________</w:t>
      </w:r>
      <w:r w:rsidR="009A0186" w:rsidRPr="008357B3">
        <w:rPr>
          <w:lang w:val="en-US"/>
        </w:rPr>
        <w:t>_____</w:t>
      </w:r>
      <w:r w:rsidR="008357B3">
        <w:rPr>
          <w:lang w:val="uk-UA"/>
        </w:rPr>
        <w:t>_________</w:t>
      </w:r>
    </w:p>
    <w:p w14:paraId="4A4945F9" w14:textId="7D595395" w:rsidR="00F83C0A" w:rsidRPr="008357B3" w:rsidRDefault="00F83C0A" w:rsidP="002D60D7">
      <w:pPr>
        <w:spacing w:after="240"/>
        <w:rPr>
          <w:lang w:val="en-US"/>
        </w:rPr>
      </w:pPr>
      <w:r w:rsidRPr="008357B3">
        <w:rPr>
          <w:lang w:val="en-US"/>
        </w:rPr>
        <w:t>batch(</w:t>
      </w:r>
      <w:proofErr w:type="spellStart"/>
      <w:r w:rsidRPr="008357B3">
        <w:rPr>
          <w:lang w:val="en-US"/>
        </w:rPr>
        <w:t>ies</w:t>
      </w:r>
      <w:proofErr w:type="spellEnd"/>
      <w:r w:rsidRPr="008357B3">
        <w:rPr>
          <w:lang w:val="en-US"/>
        </w:rPr>
        <w:t>)</w:t>
      </w:r>
      <w:r w:rsidR="005E18CF" w:rsidRPr="008357B3">
        <w:rPr>
          <w:lang w:val="en-US"/>
        </w:rPr>
        <w:t>:</w:t>
      </w:r>
      <w:r w:rsidR="008357B3">
        <w:rPr>
          <w:lang w:val="uk-UA"/>
        </w:rPr>
        <w:t xml:space="preserve"> </w:t>
      </w:r>
      <w:r w:rsidR="005E18CF" w:rsidRPr="008357B3">
        <w:rPr>
          <w:lang w:val="en-US"/>
        </w:rPr>
        <w:t>_________________________________________</w:t>
      </w:r>
      <w:r w:rsidR="00783B36" w:rsidRPr="008357B3">
        <w:rPr>
          <w:lang w:val="en-US"/>
        </w:rPr>
        <w:t>_________</w:t>
      </w:r>
      <w:r w:rsidR="005E18CF" w:rsidRPr="008357B3">
        <w:rPr>
          <w:lang w:val="en-US"/>
        </w:rPr>
        <w:t>___________</w:t>
      </w:r>
      <w:r w:rsidR="00D75EEC" w:rsidRPr="008357B3">
        <w:rPr>
          <w:lang w:val="en-US"/>
        </w:rPr>
        <w:t>__</w:t>
      </w:r>
      <w:r w:rsidR="005E18CF" w:rsidRPr="008357B3">
        <w:rPr>
          <w:lang w:val="en-US"/>
        </w:rPr>
        <w:t>_______</w:t>
      </w:r>
      <w:r w:rsidR="009A0186" w:rsidRPr="008357B3">
        <w:rPr>
          <w:lang w:val="en-US"/>
        </w:rPr>
        <w:t>______</w:t>
      </w:r>
      <w:r w:rsidR="008357B3">
        <w:rPr>
          <w:lang w:val="uk-UA"/>
        </w:rPr>
        <w:t>_________</w:t>
      </w:r>
      <w:r w:rsidR="009A0186" w:rsidRPr="008357B3">
        <w:rPr>
          <w:lang w:val="en-US"/>
        </w:rPr>
        <w:t>__</w:t>
      </w:r>
    </w:p>
    <w:p w14:paraId="780E47CE" w14:textId="14482202" w:rsidR="005E18CF" w:rsidRDefault="00F83C0A" w:rsidP="00792234">
      <w:pPr>
        <w:rPr>
          <w:lang w:val="en-US"/>
        </w:rPr>
      </w:pPr>
      <w:r w:rsidRPr="008357B3">
        <w:rPr>
          <w:lang w:val="en-US"/>
        </w:rPr>
        <w:t>according to the following indicators according to the relevant regulatory documentation</w:t>
      </w:r>
      <w:r w:rsidR="00D0756C" w:rsidRPr="008357B3">
        <w:rPr>
          <w:lang w:val="en-US"/>
        </w:rPr>
        <w:t>:</w:t>
      </w:r>
    </w:p>
    <w:p w14:paraId="2E4D734E" w14:textId="77777777" w:rsidR="006318B9" w:rsidRPr="008357B3" w:rsidRDefault="006318B9" w:rsidP="00792234">
      <w:pPr>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968"/>
        <w:gridCol w:w="3352"/>
      </w:tblGrid>
      <w:tr w:rsidR="008357B3" w:rsidRPr="006318B9" w14:paraId="250AC3D5" w14:textId="77777777" w:rsidTr="008357B3">
        <w:tc>
          <w:tcPr>
            <w:tcW w:w="2313" w:type="dxa"/>
          </w:tcPr>
          <w:p w14:paraId="56E5AEAF" w14:textId="77777777" w:rsidR="00D0756C" w:rsidRPr="008357B3" w:rsidRDefault="00FD3D36" w:rsidP="00792234">
            <w:pPr>
              <w:rPr>
                <w:lang w:val="en-US"/>
              </w:rPr>
            </w:pPr>
            <w:r w:rsidRPr="008357B3">
              <w:rPr>
                <w:lang w:val="en-US"/>
              </w:rPr>
              <w:t>Indicator of the analysis</w:t>
            </w:r>
          </w:p>
        </w:tc>
        <w:tc>
          <w:tcPr>
            <w:tcW w:w="3968" w:type="dxa"/>
          </w:tcPr>
          <w:p w14:paraId="6336F5D1" w14:textId="439C47B1" w:rsidR="00D0756C" w:rsidRPr="008357B3" w:rsidRDefault="00FD3D36" w:rsidP="00792234">
            <w:pPr>
              <w:rPr>
                <w:lang w:val="en-US"/>
              </w:rPr>
            </w:pPr>
            <w:r w:rsidRPr="008357B3">
              <w:rPr>
                <w:lang w:val="en-US"/>
              </w:rPr>
              <w:t>Regulatory documentation (title, date of approval)</w:t>
            </w:r>
          </w:p>
        </w:tc>
        <w:tc>
          <w:tcPr>
            <w:tcW w:w="3352" w:type="dxa"/>
          </w:tcPr>
          <w:p w14:paraId="4DBE9FF1" w14:textId="0653A6C0" w:rsidR="00D0756C" w:rsidRPr="008357B3" w:rsidRDefault="00FD3D36" w:rsidP="00792234">
            <w:pPr>
              <w:rPr>
                <w:lang w:val="en-US"/>
              </w:rPr>
            </w:pPr>
            <w:r w:rsidRPr="008357B3">
              <w:rPr>
                <w:lang w:val="en-US"/>
              </w:rPr>
              <w:t>Additional requirements (for example, detection limit, uncertainty</w:t>
            </w:r>
            <w:r w:rsidR="009E44BE" w:rsidRPr="008357B3">
              <w:rPr>
                <w:lang w:val="en-US"/>
              </w:rPr>
              <w:t xml:space="preserve"> measurement</w:t>
            </w:r>
            <w:r w:rsidRPr="008357B3">
              <w:rPr>
                <w:lang w:val="en-US"/>
              </w:rPr>
              <w:t>, etc.)</w:t>
            </w:r>
          </w:p>
        </w:tc>
      </w:tr>
      <w:tr w:rsidR="008357B3" w:rsidRPr="006318B9" w14:paraId="50BEB6D5" w14:textId="77777777" w:rsidTr="008357B3">
        <w:tc>
          <w:tcPr>
            <w:tcW w:w="2313" w:type="dxa"/>
          </w:tcPr>
          <w:p w14:paraId="29078FB5" w14:textId="77777777" w:rsidR="00D0756C" w:rsidRPr="008357B3" w:rsidRDefault="00D0756C" w:rsidP="00D75EEC">
            <w:pPr>
              <w:pStyle w:val="ac"/>
              <w:spacing w:after="120"/>
              <w:ind w:left="0" w:hanging="1080"/>
              <w:contextualSpacing w:val="0"/>
              <w:jc w:val="both"/>
              <w:rPr>
                <w:rFonts w:ascii="Times New Roman" w:eastAsia="Times New Roman" w:hAnsi="Times New Roman" w:cs="Times New Roman"/>
                <w:sz w:val="20"/>
                <w:szCs w:val="20"/>
                <w:lang w:val="en-US"/>
              </w:rPr>
            </w:pPr>
          </w:p>
        </w:tc>
        <w:tc>
          <w:tcPr>
            <w:tcW w:w="3968" w:type="dxa"/>
          </w:tcPr>
          <w:p w14:paraId="2220D79D" w14:textId="77777777" w:rsidR="00D0756C" w:rsidRPr="008357B3" w:rsidRDefault="00D0756C" w:rsidP="00D75EEC">
            <w:pPr>
              <w:pStyle w:val="ac"/>
              <w:spacing w:after="120"/>
              <w:ind w:left="0"/>
              <w:contextualSpacing w:val="0"/>
              <w:jc w:val="both"/>
              <w:rPr>
                <w:rFonts w:ascii="Times New Roman" w:eastAsia="Times New Roman" w:hAnsi="Times New Roman" w:cs="Times New Roman"/>
                <w:sz w:val="20"/>
                <w:szCs w:val="20"/>
                <w:lang w:val="en-US"/>
              </w:rPr>
            </w:pPr>
          </w:p>
        </w:tc>
        <w:tc>
          <w:tcPr>
            <w:tcW w:w="3352" w:type="dxa"/>
          </w:tcPr>
          <w:p w14:paraId="60FC791A" w14:textId="77777777" w:rsidR="00D0756C" w:rsidRPr="008357B3" w:rsidRDefault="00D0756C" w:rsidP="00D75EEC">
            <w:pPr>
              <w:pStyle w:val="ac"/>
              <w:spacing w:after="120"/>
              <w:ind w:left="0" w:hanging="1080"/>
              <w:contextualSpacing w:val="0"/>
              <w:jc w:val="both"/>
              <w:rPr>
                <w:rFonts w:ascii="Times New Roman" w:eastAsia="Times New Roman" w:hAnsi="Times New Roman" w:cs="Times New Roman"/>
                <w:sz w:val="20"/>
                <w:szCs w:val="20"/>
                <w:lang w:val="en-US"/>
              </w:rPr>
            </w:pPr>
          </w:p>
        </w:tc>
      </w:tr>
    </w:tbl>
    <w:p w14:paraId="1B7B0F7A" w14:textId="77777777" w:rsidR="007B3DC1" w:rsidRPr="008357B3" w:rsidRDefault="0017287C" w:rsidP="008357B3">
      <w:pPr>
        <w:ind w:left="-426"/>
        <w:rPr>
          <w:lang w:val="en-US"/>
        </w:rPr>
      </w:pPr>
      <w:r w:rsidRPr="008357B3">
        <w:rPr>
          <w:lang w:val="en-US"/>
        </w:rPr>
        <w:t>Regarding the application of the decision-making rule</w:t>
      </w:r>
      <w:r w:rsidR="007777EE" w:rsidRPr="008357B3">
        <w:rPr>
          <w:lang w:val="en-US"/>
        </w:rPr>
        <w:t>:</w:t>
      </w:r>
    </w:p>
    <w:p w14:paraId="5B0D6FEB" w14:textId="738D3EAB" w:rsidR="0017287C" w:rsidRDefault="0017287C" w:rsidP="009A0186">
      <w:pPr>
        <w:ind w:left="-426"/>
        <w:jc w:val="both"/>
        <w:rPr>
          <w:lang w:val="en-US"/>
        </w:rPr>
      </w:pPr>
      <w:r w:rsidRPr="008357B3">
        <w:rPr>
          <w:lang w:val="en-US"/>
        </w:rPr>
        <w:t xml:space="preserve">We confirm that we are familiar with the Statement on the Laboratory's application of the </w:t>
      </w:r>
      <w:r w:rsidR="00EC203C" w:rsidRPr="008357B3">
        <w:rPr>
          <w:lang w:val="en-US"/>
        </w:rPr>
        <w:t xml:space="preserve">decision </w:t>
      </w:r>
      <w:r w:rsidRPr="008357B3">
        <w:rPr>
          <w:lang w:val="en-US"/>
        </w:rPr>
        <w:t xml:space="preserve">rules on compliance, which is posted on the website </w:t>
      </w:r>
      <w:hyperlink r:id="rId7" w:history="1">
        <w:r w:rsidRPr="008357B3">
          <w:rPr>
            <w:rStyle w:val="ad"/>
            <w:color w:val="auto"/>
            <w:lang w:val="en-US"/>
          </w:rPr>
          <w:t>www.clab.com.ua</w:t>
        </w:r>
      </w:hyperlink>
      <w:r w:rsidRPr="008357B3">
        <w:rPr>
          <w:lang w:val="en-US"/>
        </w:rPr>
        <w:t xml:space="preserve"> in the section for clients/how to order an analysis and declare that we are agreeing on the choice option, which suits the occasion №___ (select the appropriate case described in the table</w:t>
      </w:r>
      <w:proofErr w:type="gramStart"/>
      <w:r w:rsidRPr="008357B3">
        <w:rPr>
          <w:lang w:val="en-US"/>
        </w:rPr>
        <w:t>) :</w:t>
      </w:r>
      <w:proofErr w:type="gramEnd"/>
    </w:p>
    <w:p w14:paraId="0CAA1099" w14:textId="77777777" w:rsidR="006318B9" w:rsidRPr="008357B3" w:rsidRDefault="006318B9" w:rsidP="009A0186">
      <w:pPr>
        <w:ind w:left="-426"/>
        <w:jc w:val="both"/>
        <w:rPr>
          <w:lang w:val="en-U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15"/>
        <w:gridCol w:w="5325"/>
      </w:tblGrid>
      <w:tr w:rsidR="008357B3" w:rsidRPr="008357B3" w14:paraId="20CC75C8" w14:textId="77777777" w:rsidTr="00B46B31">
        <w:tc>
          <w:tcPr>
            <w:tcW w:w="540" w:type="dxa"/>
          </w:tcPr>
          <w:p w14:paraId="2D8B77D8" w14:textId="77777777" w:rsidR="00A066C8" w:rsidRPr="008357B3" w:rsidRDefault="00A066C8" w:rsidP="00792234">
            <w:pPr>
              <w:rPr>
                <w:lang w:val="en-US"/>
              </w:rPr>
            </w:pPr>
            <w:r w:rsidRPr="008357B3">
              <w:rPr>
                <w:lang w:val="en-US"/>
              </w:rPr>
              <w:t xml:space="preserve">№ </w:t>
            </w:r>
          </w:p>
        </w:tc>
        <w:tc>
          <w:tcPr>
            <w:tcW w:w="4215" w:type="dxa"/>
          </w:tcPr>
          <w:p w14:paraId="5A815B68" w14:textId="77777777" w:rsidR="00A066C8" w:rsidRPr="001F6F4A" w:rsidRDefault="0017287C" w:rsidP="00792234">
            <w:pPr>
              <w:rPr>
                <w:b/>
                <w:bCs/>
                <w:lang w:val="en-US"/>
              </w:rPr>
            </w:pPr>
            <w:r w:rsidRPr="001F6F4A">
              <w:rPr>
                <w:b/>
                <w:bCs/>
                <w:lang w:val="en-US"/>
              </w:rPr>
              <w:t>Conditions for selecting a rule</w:t>
            </w:r>
          </w:p>
        </w:tc>
        <w:tc>
          <w:tcPr>
            <w:tcW w:w="5325" w:type="dxa"/>
          </w:tcPr>
          <w:p w14:paraId="2F9C78A1" w14:textId="77777777" w:rsidR="00A066C8" w:rsidRPr="001F6F4A" w:rsidRDefault="0017287C" w:rsidP="00792234">
            <w:pPr>
              <w:rPr>
                <w:b/>
                <w:bCs/>
                <w:lang w:val="en-US"/>
              </w:rPr>
            </w:pPr>
            <w:r w:rsidRPr="001F6F4A">
              <w:rPr>
                <w:b/>
                <w:bCs/>
                <w:lang w:val="en-US"/>
              </w:rPr>
              <w:t>Decision rule</w:t>
            </w:r>
          </w:p>
        </w:tc>
      </w:tr>
      <w:tr w:rsidR="008357B3" w:rsidRPr="006318B9" w14:paraId="2D5709B1" w14:textId="77777777" w:rsidTr="00B46B31">
        <w:trPr>
          <w:trHeight w:val="230"/>
        </w:trPr>
        <w:tc>
          <w:tcPr>
            <w:tcW w:w="540" w:type="dxa"/>
          </w:tcPr>
          <w:p w14:paraId="5ECF4376" w14:textId="77777777" w:rsidR="00A066C8" w:rsidRPr="008357B3" w:rsidRDefault="00A066C8" w:rsidP="00792234">
            <w:pPr>
              <w:rPr>
                <w:lang w:val="en-US"/>
              </w:rPr>
            </w:pPr>
            <w:r w:rsidRPr="008357B3">
              <w:rPr>
                <w:lang w:val="en-US"/>
              </w:rPr>
              <w:t>1</w:t>
            </w:r>
          </w:p>
        </w:tc>
        <w:tc>
          <w:tcPr>
            <w:tcW w:w="4215" w:type="dxa"/>
          </w:tcPr>
          <w:p w14:paraId="505BDC7C" w14:textId="77777777" w:rsidR="00A066C8" w:rsidRPr="008357B3" w:rsidRDefault="00D05CD3" w:rsidP="00391AEA">
            <w:pPr>
              <w:jc w:val="both"/>
              <w:rPr>
                <w:lang w:val="en-US"/>
              </w:rPr>
            </w:pPr>
            <w:r w:rsidRPr="008357B3">
              <w:rPr>
                <w:b/>
                <w:bCs/>
                <w:lang w:val="en-US"/>
              </w:rPr>
              <w:t xml:space="preserve">There is no need </w:t>
            </w:r>
            <w:r w:rsidRPr="008357B3">
              <w:rPr>
                <w:lang w:val="en-US"/>
              </w:rPr>
              <w:t>for a finding of conformity</w:t>
            </w:r>
          </w:p>
        </w:tc>
        <w:tc>
          <w:tcPr>
            <w:tcW w:w="5325" w:type="dxa"/>
          </w:tcPr>
          <w:p w14:paraId="6F2659FC" w14:textId="77777777" w:rsidR="00A066C8" w:rsidRPr="008357B3" w:rsidRDefault="00D05CD3" w:rsidP="00836F0D">
            <w:pPr>
              <w:jc w:val="both"/>
              <w:rPr>
                <w:lang w:val="en-US"/>
              </w:rPr>
            </w:pPr>
            <w:r w:rsidRPr="008357B3">
              <w:rPr>
                <w:lang w:val="en-US"/>
              </w:rPr>
              <w:t>Providing the result of the analysis and uncertainty of measurement without a conclusion about compliance</w:t>
            </w:r>
          </w:p>
        </w:tc>
      </w:tr>
      <w:tr w:rsidR="008357B3" w:rsidRPr="008357B3" w14:paraId="712ED93A" w14:textId="77777777" w:rsidTr="00B46B31">
        <w:tc>
          <w:tcPr>
            <w:tcW w:w="540" w:type="dxa"/>
          </w:tcPr>
          <w:p w14:paraId="7F1B8990" w14:textId="77777777" w:rsidR="00A066C8" w:rsidRPr="008357B3" w:rsidRDefault="00A066C8" w:rsidP="00792234">
            <w:pPr>
              <w:rPr>
                <w:lang w:val="en-US"/>
              </w:rPr>
            </w:pPr>
            <w:r w:rsidRPr="008357B3">
              <w:rPr>
                <w:lang w:val="en-US"/>
              </w:rPr>
              <w:t>2</w:t>
            </w:r>
          </w:p>
        </w:tc>
        <w:tc>
          <w:tcPr>
            <w:tcW w:w="4215" w:type="dxa"/>
          </w:tcPr>
          <w:p w14:paraId="5E795757" w14:textId="3BB6DFC9" w:rsidR="00A066C8" w:rsidRPr="008357B3" w:rsidRDefault="00D05CD3" w:rsidP="00391AEA">
            <w:pPr>
              <w:jc w:val="both"/>
              <w:rPr>
                <w:lang w:val="en-US"/>
              </w:rPr>
            </w:pPr>
            <w:r w:rsidRPr="008357B3">
              <w:rPr>
                <w:b/>
                <w:bCs/>
                <w:lang w:val="en-US"/>
              </w:rPr>
              <w:t>It is necessary to indicate the conclusion</w:t>
            </w:r>
            <w:r w:rsidRPr="008357B3">
              <w:rPr>
                <w:lang w:val="en-US"/>
              </w:rPr>
              <w:t xml:space="preserve"> </w:t>
            </w:r>
            <w:r w:rsidR="001F6F4A">
              <w:rPr>
                <w:lang w:val="en-US"/>
              </w:rPr>
              <w:t xml:space="preserve">about the responsibility and the test objects are subject to certain legislative or regulatory rules </w:t>
            </w:r>
            <w:r w:rsidR="001F6F4A" w:rsidRPr="008357B3">
              <w:rPr>
                <w:lang w:val="en-US"/>
              </w:rPr>
              <w:t>(for example, quality control of medicine</w:t>
            </w:r>
            <w:r w:rsidR="001F6F4A">
              <w:rPr>
                <w:lang w:val="en-US"/>
              </w:rPr>
              <w:t>)</w:t>
            </w:r>
          </w:p>
        </w:tc>
        <w:tc>
          <w:tcPr>
            <w:tcW w:w="5325" w:type="dxa"/>
          </w:tcPr>
          <w:p w14:paraId="70189286" w14:textId="77777777" w:rsidR="00CA2862" w:rsidRPr="008357B3" w:rsidRDefault="00CA2862" w:rsidP="00836F0D">
            <w:pPr>
              <w:jc w:val="both"/>
              <w:rPr>
                <w:lang w:val="en-US"/>
              </w:rPr>
            </w:pPr>
            <w:r w:rsidRPr="001F6F4A">
              <w:rPr>
                <w:i/>
                <w:iCs/>
                <w:lang w:val="en-US"/>
              </w:rPr>
              <w:t>Simple acceptance</w:t>
            </w:r>
            <w:r w:rsidRPr="008357B3">
              <w:rPr>
                <w:lang w:val="en-US"/>
              </w:rPr>
              <w:t xml:space="preserve">: if </w:t>
            </w:r>
            <w:r w:rsidR="0049051E" w:rsidRPr="008357B3">
              <w:rPr>
                <w:lang w:val="en-US"/>
              </w:rPr>
              <w:t>obtained</w:t>
            </w:r>
            <w:r w:rsidRPr="008357B3">
              <w:rPr>
                <w:lang w:val="en-US"/>
              </w:rPr>
              <w:t xml:space="preserve"> result falls within the specification limits, then it "conforms"; if the obtained result exceeds the established tolerance limits, then it "not </w:t>
            </w:r>
            <w:r w:rsidR="0049051E" w:rsidRPr="008357B3">
              <w:rPr>
                <w:lang w:val="en-US"/>
              </w:rPr>
              <w:t>conforms</w:t>
            </w:r>
            <w:r w:rsidRPr="008357B3">
              <w:rPr>
                <w:lang w:val="en-US"/>
              </w:rPr>
              <w:t>".</w:t>
            </w:r>
          </w:p>
          <w:p w14:paraId="79BA0A6C" w14:textId="77777777" w:rsidR="00A066C8" w:rsidRPr="008357B3" w:rsidRDefault="00CA2862" w:rsidP="00836F0D">
            <w:pPr>
              <w:jc w:val="both"/>
              <w:rPr>
                <w:lang w:val="en-US"/>
              </w:rPr>
            </w:pPr>
            <w:r w:rsidRPr="008357B3">
              <w:rPr>
                <w:lang w:val="en-US"/>
              </w:rPr>
              <w:t>Uncertainty is not specified.</w:t>
            </w:r>
          </w:p>
        </w:tc>
      </w:tr>
      <w:tr w:rsidR="008357B3" w:rsidRPr="006318B9" w14:paraId="451A6F89" w14:textId="77777777" w:rsidTr="00B46B31">
        <w:tc>
          <w:tcPr>
            <w:tcW w:w="540" w:type="dxa"/>
          </w:tcPr>
          <w:p w14:paraId="2D5079FC" w14:textId="77777777" w:rsidR="00A066C8" w:rsidRPr="008357B3" w:rsidRDefault="00A066C8" w:rsidP="00792234">
            <w:pPr>
              <w:rPr>
                <w:lang w:val="en-US"/>
              </w:rPr>
            </w:pPr>
            <w:r w:rsidRPr="008357B3">
              <w:rPr>
                <w:lang w:val="en-US"/>
              </w:rPr>
              <w:t>3</w:t>
            </w:r>
          </w:p>
        </w:tc>
        <w:tc>
          <w:tcPr>
            <w:tcW w:w="4215" w:type="dxa"/>
          </w:tcPr>
          <w:p w14:paraId="03649264" w14:textId="77777777" w:rsidR="00A066C8" w:rsidRPr="008357B3" w:rsidRDefault="00EC203C" w:rsidP="00391AEA">
            <w:pPr>
              <w:jc w:val="both"/>
              <w:rPr>
                <w:lang w:val="en-US"/>
              </w:rPr>
            </w:pPr>
            <w:r w:rsidRPr="008357B3">
              <w:rPr>
                <w:b/>
                <w:bCs/>
                <w:lang w:val="en-US"/>
              </w:rPr>
              <w:t>It is necessary to indicate the conclusion</w:t>
            </w:r>
            <w:r w:rsidRPr="008357B3">
              <w:rPr>
                <w:lang w:val="en-US"/>
              </w:rPr>
              <w:t xml:space="preserve"> of conformity </w:t>
            </w:r>
            <w:r w:rsidR="00D8676E" w:rsidRPr="008357B3">
              <w:rPr>
                <w:lang w:val="en-US"/>
              </w:rPr>
              <w:t>and the standards containing the process for deciding on conformity shall apply to the test objects.</w:t>
            </w:r>
          </w:p>
        </w:tc>
        <w:tc>
          <w:tcPr>
            <w:tcW w:w="5325" w:type="dxa"/>
          </w:tcPr>
          <w:p w14:paraId="4450B1A3" w14:textId="77777777" w:rsidR="00D8676E" w:rsidRPr="008357B3" w:rsidRDefault="00D8676E" w:rsidP="00836F0D">
            <w:pPr>
              <w:jc w:val="both"/>
              <w:rPr>
                <w:lang w:val="en-US"/>
              </w:rPr>
            </w:pPr>
            <w:r w:rsidRPr="008357B3">
              <w:rPr>
                <w:lang w:val="en-US"/>
              </w:rPr>
              <w:t>That decision-making process specified in these standards.</w:t>
            </w:r>
          </w:p>
          <w:p w14:paraId="66BB939A" w14:textId="77777777" w:rsidR="00A066C8" w:rsidRPr="008357B3" w:rsidRDefault="00D8676E" w:rsidP="00836F0D">
            <w:pPr>
              <w:jc w:val="both"/>
              <w:rPr>
                <w:lang w:val="en-US"/>
              </w:rPr>
            </w:pPr>
            <w:r w:rsidRPr="008357B3">
              <w:rPr>
                <w:lang w:val="en-US"/>
              </w:rPr>
              <w:t>The indication of measurement uncertainty depends on the decision process used.</w:t>
            </w:r>
            <w:r w:rsidR="00F5055D" w:rsidRPr="008357B3">
              <w:rPr>
                <w:lang w:val="en-US"/>
              </w:rPr>
              <w:t xml:space="preserve"> </w:t>
            </w:r>
          </w:p>
        </w:tc>
      </w:tr>
      <w:tr w:rsidR="008357B3" w:rsidRPr="006318B9" w14:paraId="6AEB9EA4" w14:textId="77777777" w:rsidTr="00B46B31">
        <w:tc>
          <w:tcPr>
            <w:tcW w:w="540" w:type="dxa"/>
          </w:tcPr>
          <w:p w14:paraId="2235A686" w14:textId="77777777" w:rsidR="005D51CF" w:rsidRPr="008357B3" w:rsidRDefault="005D51CF" w:rsidP="00792234">
            <w:pPr>
              <w:rPr>
                <w:lang w:val="en-US"/>
              </w:rPr>
            </w:pPr>
            <w:r w:rsidRPr="008357B3">
              <w:rPr>
                <w:lang w:val="en-US"/>
              </w:rPr>
              <w:t>4</w:t>
            </w:r>
          </w:p>
        </w:tc>
        <w:tc>
          <w:tcPr>
            <w:tcW w:w="4215" w:type="dxa"/>
          </w:tcPr>
          <w:p w14:paraId="2904C3EA" w14:textId="6FFD8A5E" w:rsidR="005D51CF" w:rsidRPr="008357B3" w:rsidRDefault="00D8676E" w:rsidP="00391AEA">
            <w:pPr>
              <w:jc w:val="both"/>
              <w:rPr>
                <w:lang w:val="en-US"/>
              </w:rPr>
            </w:pPr>
            <w:r w:rsidRPr="008357B3">
              <w:rPr>
                <w:b/>
                <w:bCs/>
                <w:lang w:val="en-US"/>
              </w:rPr>
              <w:t>It is necessary to indicate the conclusion</w:t>
            </w:r>
            <w:r w:rsidRPr="008357B3">
              <w:rPr>
                <w:lang w:val="en-US"/>
              </w:rPr>
              <w:t xml:space="preserve"> of conformity, but for test objects, the standards do not contain information about the decision-making process, and there are no legislative or regulatory rules regarding this </w:t>
            </w:r>
            <w:r w:rsidR="00EC4968" w:rsidRPr="008357B3">
              <w:rPr>
                <w:lang w:val="en-US"/>
              </w:rPr>
              <w:t xml:space="preserve">decision </w:t>
            </w:r>
            <w:r w:rsidRPr="008357B3">
              <w:rPr>
                <w:lang w:val="en-US"/>
              </w:rPr>
              <w:t>rule.</w:t>
            </w:r>
          </w:p>
        </w:tc>
        <w:tc>
          <w:tcPr>
            <w:tcW w:w="5325" w:type="dxa"/>
          </w:tcPr>
          <w:p w14:paraId="36DCBC9A" w14:textId="77777777" w:rsidR="00D8676E" w:rsidRPr="008357B3" w:rsidRDefault="00D8676E" w:rsidP="00836F0D">
            <w:pPr>
              <w:jc w:val="both"/>
              <w:rPr>
                <w:lang w:val="en-US"/>
              </w:rPr>
            </w:pPr>
            <w:r w:rsidRPr="008357B3">
              <w:rPr>
                <w:lang w:val="en-US"/>
              </w:rPr>
              <w:t>In this case, two options are possible:</w:t>
            </w:r>
          </w:p>
          <w:p w14:paraId="4D3C3C8E" w14:textId="77777777" w:rsidR="00D8676E" w:rsidRPr="008357B3" w:rsidRDefault="00D8676E" w:rsidP="00836F0D">
            <w:pPr>
              <w:jc w:val="both"/>
              <w:rPr>
                <w:lang w:val="en-US"/>
              </w:rPr>
            </w:pPr>
            <w:r w:rsidRPr="008357B3">
              <w:rPr>
                <w:lang w:val="en-US"/>
              </w:rPr>
              <w:t>1) The customer determines the decision rule that would best take into account the risks of false acceptance and false rejection of the analysis result, the Laboratory notes in the analysis certificate that this decision rule is specified by the customer;</w:t>
            </w:r>
          </w:p>
          <w:p w14:paraId="1AEC00E9" w14:textId="77777777" w:rsidR="005E49D6" w:rsidRPr="008357B3" w:rsidRDefault="00D8676E" w:rsidP="00836F0D">
            <w:pPr>
              <w:jc w:val="both"/>
              <w:rPr>
                <w:lang w:val="en-US"/>
              </w:rPr>
            </w:pPr>
            <w:r w:rsidRPr="008357B3">
              <w:rPr>
                <w:lang w:val="en-US"/>
              </w:rPr>
              <w:t>2) In the absence of a choice by the customer of the decision rule, the Laboratory provides the result of the analysis and measurement uncertainty without a conclusion on compliance</w:t>
            </w:r>
            <w:r w:rsidR="004C057A" w:rsidRPr="008357B3">
              <w:rPr>
                <w:lang w:val="en-US"/>
              </w:rPr>
              <w:t>.</w:t>
            </w:r>
          </w:p>
        </w:tc>
      </w:tr>
    </w:tbl>
    <w:p w14:paraId="549E7B86" w14:textId="0D59E810" w:rsidR="004C057A" w:rsidRDefault="004C057A" w:rsidP="00792234">
      <w:pPr>
        <w:ind w:left="-426"/>
        <w:rPr>
          <w:lang w:val="en-US"/>
        </w:rPr>
      </w:pPr>
      <w:r w:rsidRPr="008357B3">
        <w:rPr>
          <w:lang w:val="en-US"/>
        </w:rPr>
        <w:t>We confirm that we, as the Customer, are responsible for the selection and transportation of samples for analysis.</w:t>
      </w:r>
    </w:p>
    <w:p w14:paraId="5EF59B92" w14:textId="6C9C5C49" w:rsidR="004C057A" w:rsidRDefault="00934756" w:rsidP="00934756">
      <w:pPr>
        <w:ind w:hanging="426"/>
        <w:rPr>
          <w:lang w:val="uk-UA"/>
        </w:rPr>
      </w:pPr>
      <w:r>
        <w:rPr>
          <w:lang w:val="en-US"/>
        </w:rPr>
        <w:t>Please provide a conclusion on the analysis results in the form of</w:t>
      </w:r>
      <w:r>
        <w:rPr>
          <w:lang w:val="uk-UA"/>
        </w:rPr>
        <w:t xml:space="preserve">: </w:t>
      </w:r>
    </w:p>
    <w:p w14:paraId="26CC5623" w14:textId="0AEEC9DA" w:rsidR="00934756" w:rsidRPr="006318B9" w:rsidRDefault="00934756" w:rsidP="00934756">
      <w:pPr>
        <w:spacing w:after="120"/>
        <w:ind w:left="-360"/>
        <w:rPr>
          <w:lang w:val="uk-UA"/>
        </w:rPr>
      </w:pPr>
      <w:r w:rsidRPr="006318B9">
        <w:rPr>
          <w:lang w:val="uk-UA"/>
        </w:rPr>
        <w:t xml:space="preserve">□ </w:t>
      </w:r>
      <w:r w:rsidRPr="006318B9">
        <w:rPr>
          <w:lang w:val="en-US"/>
        </w:rPr>
        <w:t>Certificate of Analysis</w:t>
      </w:r>
      <w:r w:rsidRPr="006318B9">
        <w:rPr>
          <w:lang w:val="uk-UA"/>
        </w:rPr>
        <w:t xml:space="preserve"> </w:t>
      </w:r>
    </w:p>
    <w:p w14:paraId="1DBCABB8" w14:textId="360EE3E5" w:rsidR="00934756" w:rsidRPr="006318B9" w:rsidRDefault="00934756" w:rsidP="00934756">
      <w:pPr>
        <w:spacing w:after="120"/>
        <w:ind w:left="-360"/>
        <w:rPr>
          <w:lang w:val="uk-UA"/>
        </w:rPr>
      </w:pPr>
      <w:r w:rsidRPr="006318B9">
        <w:rPr>
          <w:lang w:val="uk-UA"/>
        </w:rPr>
        <w:t xml:space="preserve">□ </w:t>
      </w:r>
      <w:r w:rsidRPr="006318B9">
        <w:rPr>
          <w:lang w:val="en-US"/>
        </w:rPr>
        <w:t>Expert opinion</w:t>
      </w:r>
    </w:p>
    <w:p w14:paraId="6A14646B" w14:textId="1D158E9C" w:rsidR="00934756" w:rsidRPr="006318B9" w:rsidRDefault="00934756" w:rsidP="00934756">
      <w:pPr>
        <w:spacing w:after="120"/>
        <w:ind w:left="-360"/>
        <w:rPr>
          <w:lang w:val="uk-UA"/>
        </w:rPr>
      </w:pPr>
      <w:r w:rsidRPr="006318B9">
        <w:rPr>
          <w:lang w:val="uk-UA"/>
        </w:rPr>
        <w:t xml:space="preserve">□ </w:t>
      </w:r>
      <w:r w:rsidR="00B1245F" w:rsidRPr="006318B9">
        <w:rPr>
          <w:lang w:val="en-US"/>
        </w:rPr>
        <w:t>Report</w:t>
      </w:r>
      <w:r w:rsidRPr="006318B9">
        <w:rPr>
          <w:lang w:val="uk-UA"/>
        </w:rPr>
        <w:t xml:space="preserve"> ____________________________</w:t>
      </w:r>
    </w:p>
    <w:p w14:paraId="2B5D4E04" w14:textId="0D02ACE9" w:rsidR="00934756" w:rsidRDefault="00934756" w:rsidP="00934756">
      <w:pPr>
        <w:spacing w:after="120"/>
        <w:ind w:left="-360"/>
        <w:rPr>
          <w:lang w:val="en-US"/>
        </w:rPr>
      </w:pPr>
      <w:r w:rsidRPr="006318B9">
        <w:rPr>
          <w:lang w:val="uk-UA"/>
        </w:rPr>
        <w:t xml:space="preserve">□ </w:t>
      </w:r>
      <w:r w:rsidR="00B1245F" w:rsidRPr="006318B9">
        <w:rPr>
          <w:lang w:val="en-US"/>
        </w:rPr>
        <w:t>By outgoing letter</w:t>
      </w:r>
    </w:p>
    <w:p w14:paraId="3AB030AD" w14:textId="77777777" w:rsidR="006318B9" w:rsidRPr="006318B9" w:rsidRDefault="006318B9" w:rsidP="00934756">
      <w:pPr>
        <w:spacing w:after="120"/>
        <w:ind w:left="-360"/>
        <w:rPr>
          <w:lang w:val="uk-UA"/>
        </w:rPr>
      </w:pPr>
    </w:p>
    <w:p w14:paraId="0F5E0C5B" w14:textId="77777777" w:rsidR="0026283D" w:rsidRPr="008357B3" w:rsidRDefault="0019106E" w:rsidP="00792234">
      <w:pPr>
        <w:ind w:left="-426"/>
        <w:rPr>
          <w:lang w:val="en-US"/>
        </w:rPr>
      </w:pPr>
      <w:r w:rsidRPr="008357B3">
        <w:rPr>
          <w:lang w:val="en-US"/>
        </w:rPr>
        <w:t>Representative of the Customer</w:t>
      </w:r>
      <w:r w:rsidR="0026283D" w:rsidRPr="008357B3">
        <w:rPr>
          <w:lang w:val="en-US"/>
        </w:rPr>
        <w:t xml:space="preserve">: </w:t>
      </w:r>
    </w:p>
    <w:p w14:paraId="260CAA25" w14:textId="64BFA547" w:rsidR="003D691E" w:rsidRPr="008357B3" w:rsidRDefault="0019106E" w:rsidP="00792234">
      <w:pPr>
        <w:ind w:left="-426"/>
        <w:rPr>
          <w:lang w:val="en-US"/>
        </w:rPr>
      </w:pPr>
      <w:r w:rsidRPr="008357B3">
        <w:rPr>
          <w:lang w:val="en-US"/>
        </w:rPr>
        <w:t>Position</w:t>
      </w:r>
      <w:r w:rsidR="00934756">
        <w:rPr>
          <w:lang w:val="uk-UA"/>
        </w:rPr>
        <w:t xml:space="preserve"> </w:t>
      </w:r>
      <w:r w:rsidR="0026283D" w:rsidRPr="008357B3">
        <w:rPr>
          <w:lang w:val="en-US"/>
        </w:rPr>
        <w:t>____________________</w:t>
      </w:r>
      <w:r w:rsidR="003B4E83" w:rsidRPr="008357B3">
        <w:rPr>
          <w:lang w:val="en-US"/>
        </w:rPr>
        <w:t xml:space="preserve"> </w:t>
      </w:r>
      <w:r w:rsidRPr="008357B3">
        <w:rPr>
          <w:lang w:val="en-US"/>
        </w:rPr>
        <w:t>Name</w:t>
      </w:r>
      <w:r w:rsidR="00BB38F7">
        <w:rPr>
          <w:lang w:val="uk-UA"/>
        </w:rPr>
        <w:t xml:space="preserve"> </w:t>
      </w:r>
      <w:r w:rsidR="0026283D" w:rsidRPr="008357B3">
        <w:rPr>
          <w:lang w:val="en-US"/>
        </w:rPr>
        <w:t>__________________</w:t>
      </w:r>
      <w:r w:rsidR="003B4E83" w:rsidRPr="008357B3">
        <w:rPr>
          <w:lang w:val="en-US"/>
        </w:rPr>
        <w:t xml:space="preserve"> </w:t>
      </w:r>
      <w:r w:rsidRPr="008357B3">
        <w:rPr>
          <w:lang w:val="en-US"/>
        </w:rPr>
        <w:t>Signature</w:t>
      </w:r>
      <w:r w:rsidR="00C32854" w:rsidRPr="008357B3">
        <w:rPr>
          <w:lang w:val="en-US"/>
        </w:rPr>
        <w:t xml:space="preserve"> </w:t>
      </w:r>
      <w:r w:rsidR="0026283D" w:rsidRPr="008357B3">
        <w:rPr>
          <w:lang w:val="en-US"/>
        </w:rPr>
        <w:t>___</w:t>
      </w:r>
      <w:r w:rsidRPr="008357B3">
        <w:rPr>
          <w:lang w:val="en-US"/>
        </w:rPr>
        <w:t>__</w:t>
      </w:r>
      <w:r w:rsidR="0026283D" w:rsidRPr="008357B3">
        <w:rPr>
          <w:lang w:val="en-US"/>
        </w:rPr>
        <w:t>______</w:t>
      </w:r>
      <w:r w:rsidR="00C32854" w:rsidRPr="008357B3">
        <w:rPr>
          <w:lang w:val="en-US"/>
        </w:rPr>
        <w:t xml:space="preserve"> </w:t>
      </w:r>
      <w:r w:rsidRPr="008357B3">
        <w:rPr>
          <w:lang w:val="en-US"/>
        </w:rPr>
        <w:t>Date</w:t>
      </w:r>
      <w:r w:rsidR="0026283D" w:rsidRPr="008357B3">
        <w:rPr>
          <w:lang w:val="en-US"/>
        </w:rPr>
        <w:t>___________</w:t>
      </w:r>
    </w:p>
    <w:p w14:paraId="4EE811ED" w14:textId="77777777" w:rsidR="0019106E" w:rsidRPr="008357B3" w:rsidRDefault="0019106E" w:rsidP="00792234">
      <w:pPr>
        <w:rPr>
          <w:lang w:val="en-US"/>
        </w:rPr>
      </w:pPr>
    </w:p>
    <w:p w14:paraId="38048BB0" w14:textId="6C4D433C" w:rsidR="0019106E" w:rsidRDefault="0019106E" w:rsidP="0019106E">
      <w:pPr>
        <w:tabs>
          <w:tab w:val="left" w:pos="1830"/>
        </w:tabs>
        <w:rPr>
          <w:lang w:val="en-US"/>
        </w:rPr>
      </w:pPr>
    </w:p>
    <w:p w14:paraId="6B195512" w14:textId="45E1928B" w:rsidR="006318B9" w:rsidRPr="006318B9" w:rsidRDefault="006318B9" w:rsidP="006318B9">
      <w:pPr>
        <w:rPr>
          <w:lang w:val="en-US"/>
        </w:rPr>
      </w:pPr>
    </w:p>
    <w:p w14:paraId="79BFB3D6" w14:textId="4A6314AC" w:rsidR="006318B9" w:rsidRPr="006318B9" w:rsidRDefault="006318B9" w:rsidP="006318B9">
      <w:pPr>
        <w:tabs>
          <w:tab w:val="left" w:pos="1650"/>
        </w:tabs>
        <w:rPr>
          <w:lang w:val="en-US"/>
        </w:rPr>
      </w:pPr>
      <w:r>
        <w:rPr>
          <w:lang w:val="en-US"/>
        </w:rPr>
        <w:tab/>
      </w:r>
    </w:p>
    <w:sectPr w:rsidR="006318B9" w:rsidRPr="006318B9" w:rsidSect="00A804F8">
      <w:headerReference w:type="default" r:id="rId8"/>
      <w:footerReference w:type="default" r:id="rId9"/>
      <w:pgSz w:w="11906" w:h="16838" w:code="9"/>
      <w:pgMar w:top="624" w:right="567" w:bottom="567" w:left="1701" w:header="576"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7242" w14:textId="77777777" w:rsidR="00165788" w:rsidRDefault="00165788">
      <w:r>
        <w:separator/>
      </w:r>
    </w:p>
  </w:endnote>
  <w:endnote w:type="continuationSeparator" w:id="0">
    <w:p w14:paraId="2FCC6453" w14:textId="77777777" w:rsidR="00165788" w:rsidRDefault="0016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5149" w14:textId="1E89D885" w:rsidR="00733894" w:rsidRPr="00D7418C" w:rsidRDefault="00A804F8" w:rsidP="005D51CF">
    <w:pPr>
      <w:pStyle w:val="a8"/>
      <w:ind w:left="-426"/>
      <w:rPr>
        <w:rFonts w:ascii="Arial" w:hAnsi="Arial" w:cs="Arial"/>
        <w:sz w:val="18"/>
        <w:szCs w:val="18"/>
        <w:lang w:val="en-US"/>
      </w:rPr>
    </w:pPr>
    <w:r w:rsidRPr="00D7418C">
      <w:rPr>
        <w:rFonts w:ascii="Arial" w:hAnsi="Arial" w:cs="Arial"/>
        <w:b/>
        <w:sz w:val="18"/>
        <w:szCs w:val="18"/>
        <w:lang w:val="en-US"/>
      </w:rPr>
      <w:t>SOP</w:t>
    </w:r>
    <w:r w:rsidRPr="00A804F8">
      <w:rPr>
        <w:rFonts w:ascii="Arial" w:hAnsi="Arial" w:cs="Arial"/>
        <w:b/>
        <w:sz w:val="18"/>
        <w:szCs w:val="18"/>
        <w:lang w:val="uk-UA"/>
      </w:rPr>
      <w:t>/</w:t>
    </w:r>
    <w:r w:rsidRPr="00D7418C">
      <w:rPr>
        <w:rFonts w:ascii="Arial" w:hAnsi="Arial" w:cs="Arial"/>
        <w:b/>
        <w:sz w:val="18"/>
        <w:szCs w:val="18"/>
        <w:lang w:val="en-US"/>
      </w:rPr>
      <w:t>S</w:t>
    </w:r>
    <w:r w:rsidRPr="00A804F8">
      <w:rPr>
        <w:rFonts w:ascii="Arial" w:hAnsi="Arial" w:cs="Arial"/>
        <w:b/>
        <w:sz w:val="18"/>
        <w:szCs w:val="18"/>
        <w:lang w:val="uk-UA"/>
      </w:rPr>
      <w:t>-4.4-02/</w:t>
    </w:r>
    <w:r w:rsidRPr="00A804F8">
      <w:rPr>
        <w:rFonts w:ascii="Arial" w:hAnsi="Arial" w:cs="Arial"/>
        <w:b/>
        <w:sz w:val="18"/>
        <w:szCs w:val="18"/>
        <w:lang w:val="en-US"/>
      </w:rPr>
      <w:t>D</w:t>
    </w:r>
    <w:r w:rsidR="000D25CD" w:rsidRPr="00D7418C">
      <w:rPr>
        <w:rFonts w:ascii="Arial" w:hAnsi="Arial" w:cs="Arial"/>
        <w:b/>
        <w:sz w:val="18"/>
        <w:szCs w:val="18"/>
        <w:lang w:val="en-US"/>
      </w:rPr>
      <w:t>2</w:t>
    </w:r>
    <w:r w:rsidR="00225AD3">
      <w:rPr>
        <w:rFonts w:ascii="Arial" w:hAnsi="Arial" w:cs="Arial"/>
        <w:sz w:val="18"/>
        <w:szCs w:val="18"/>
        <w:lang w:val="uk-UA"/>
      </w:rPr>
      <w:t xml:space="preserve">, </w:t>
    </w:r>
    <w:r w:rsidR="00D7418C">
      <w:rPr>
        <w:rFonts w:ascii="Arial" w:hAnsi="Arial" w:cs="Arial"/>
        <w:sz w:val="18"/>
        <w:szCs w:val="18"/>
        <w:lang w:val="en-US"/>
      </w:rPr>
      <w:t>edition</w:t>
    </w:r>
    <w:r w:rsidR="00D7418C" w:rsidRPr="00D7418C">
      <w:rPr>
        <w:rFonts w:ascii="Arial" w:hAnsi="Arial" w:cs="Arial"/>
        <w:sz w:val="18"/>
        <w:szCs w:val="18"/>
        <w:lang w:val="en-US"/>
      </w:rPr>
      <w:t xml:space="preserve"> </w:t>
    </w:r>
    <w:r w:rsidR="00225AD3" w:rsidRPr="006318B9">
      <w:rPr>
        <w:rFonts w:ascii="Arial" w:hAnsi="Arial" w:cs="Arial"/>
        <w:sz w:val="18"/>
        <w:szCs w:val="18"/>
        <w:lang w:val="uk-UA"/>
      </w:rPr>
      <w:t>0</w:t>
    </w:r>
    <w:r w:rsidR="00332B8D" w:rsidRPr="006318B9">
      <w:rPr>
        <w:rFonts w:ascii="Arial" w:hAnsi="Arial" w:cs="Arial"/>
        <w:sz w:val="18"/>
        <w:szCs w:val="18"/>
        <w:lang w:val="en-US"/>
      </w:rPr>
      <w:t>4</w:t>
    </w:r>
    <w:r w:rsidR="005D51CF">
      <w:rPr>
        <w:rFonts w:ascii="Arial" w:hAnsi="Arial" w:cs="Arial"/>
        <w:sz w:val="18"/>
        <w:szCs w:val="18"/>
        <w:lang w:val="uk-UA"/>
      </w:rPr>
      <w:t xml:space="preserve">, </w:t>
    </w:r>
    <w:r w:rsidR="00D7418C">
      <w:rPr>
        <w:rFonts w:ascii="Arial" w:hAnsi="Arial" w:cs="Arial"/>
        <w:sz w:val="18"/>
        <w:szCs w:val="18"/>
        <w:lang w:val="en-US"/>
      </w:rPr>
      <w:t>Comes into force from</w:t>
    </w:r>
    <w:r w:rsidR="00733894" w:rsidRPr="00A804F8">
      <w:rPr>
        <w:rFonts w:ascii="Arial" w:hAnsi="Arial" w:cs="Arial"/>
        <w:sz w:val="18"/>
        <w:szCs w:val="18"/>
        <w:lang w:val="uk-UA"/>
      </w:rPr>
      <w:t>:</w:t>
    </w:r>
    <w:r w:rsidR="009958DD">
      <w:rPr>
        <w:rFonts w:ascii="Arial" w:hAnsi="Arial" w:cs="Arial"/>
        <w:sz w:val="18"/>
        <w:szCs w:val="18"/>
        <w:lang w:val="uk-UA"/>
      </w:rPr>
      <w:t xml:space="preserve"> 23.02.2026</w:t>
    </w:r>
    <w:r w:rsidR="00332B8D" w:rsidRPr="00D7418C">
      <w:rPr>
        <w:rFonts w:ascii="Arial" w:hAnsi="Arial" w:cs="Arial"/>
        <w:sz w:val="18"/>
        <w:szCs w:val="18"/>
        <w:lang w:val="en-US"/>
      </w:rPr>
      <w:t xml:space="preserve">      </w:t>
    </w:r>
    <w:r w:rsidR="005D51CF">
      <w:rPr>
        <w:rFonts w:ascii="Arial" w:hAnsi="Arial" w:cs="Arial"/>
        <w:sz w:val="18"/>
        <w:szCs w:val="18"/>
        <w:lang w:val="uk-UA"/>
      </w:rPr>
      <w:t xml:space="preserve">                                                                      </w:t>
    </w:r>
    <w:r w:rsidR="00D7418C">
      <w:rPr>
        <w:rFonts w:ascii="Arial" w:hAnsi="Arial" w:cs="Arial"/>
        <w:bCs/>
        <w:sz w:val="18"/>
        <w:szCs w:val="18"/>
        <w:lang w:val="en-US"/>
      </w:rPr>
      <w:t>Page</w:t>
    </w:r>
    <w:r w:rsidR="005D51CF" w:rsidRPr="00D7418C">
      <w:rPr>
        <w:rFonts w:ascii="Arial" w:hAnsi="Arial" w:cs="Arial"/>
        <w:bCs/>
        <w:sz w:val="18"/>
        <w:szCs w:val="18"/>
        <w:lang w:val="en-US"/>
      </w:rPr>
      <w:t xml:space="preserve"> </w:t>
    </w:r>
    <w:r w:rsidR="005D51CF" w:rsidRPr="005D51CF">
      <w:rPr>
        <w:rFonts w:ascii="Arial" w:hAnsi="Arial" w:cs="Arial"/>
        <w:bCs/>
        <w:sz w:val="18"/>
        <w:szCs w:val="18"/>
        <w:lang w:val="uk-UA"/>
      </w:rPr>
      <w:fldChar w:fldCharType="begin"/>
    </w:r>
    <w:r w:rsidR="005D51CF" w:rsidRPr="005D51CF">
      <w:rPr>
        <w:rFonts w:ascii="Arial" w:hAnsi="Arial" w:cs="Arial"/>
        <w:bCs/>
        <w:sz w:val="18"/>
        <w:szCs w:val="18"/>
        <w:lang w:val="uk-UA"/>
      </w:rPr>
      <w:instrText>PAGE  \* Arabic  \* MERGEFORMAT</w:instrText>
    </w:r>
    <w:r w:rsidR="005D51CF" w:rsidRPr="005D51CF">
      <w:rPr>
        <w:rFonts w:ascii="Arial" w:hAnsi="Arial" w:cs="Arial"/>
        <w:bCs/>
        <w:sz w:val="18"/>
        <w:szCs w:val="18"/>
        <w:lang w:val="uk-UA"/>
      </w:rPr>
      <w:fldChar w:fldCharType="separate"/>
    </w:r>
    <w:r w:rsidR="005D51CF" w:rsidRPr="005D51CF">
      <w:rPr>
        <w:rFonts w:ascii="Arial" w:hAnsi="Arial" w:cs="Arial"/>
        <w:bCs/>
        <w:sz w:val="18"/>
        <w:szCs w:val="18"/>
        <w:lang w:val="uk-UA"/>
      </w:rPr>
      <w:t>1</w:t>
    </w:r>
    <w:r w:rsidR="005D51CF" w:rsidRPr="005D51CF">
      <w:rPr>
        <w:rFonts w:ascii="Arial" w:hAnsi="Arial" w:cs="Arial"/>
        <w:bCs/>
        <w:sz w:val="18"/>
        <w:szCs w:val="18"/>
        <w:lang w:val="uk-UA"/>
      </w:rPr>
      <w:fldChar w:fldCharType="end"/>
    </w:r>
    <w:r w:rsidR="005D51CF" w:rsidRPr="00D7418C">
      <w:rPr>
        <w:rFonts w:ascii="Arial" w:hAnsi="Arial" w:cs="Arial"/>
        <w:bCs/>
        <w:sz w:val="18"/>
        <w:szCs w:val="18"/>
        <w:lang w:val="en-US"/>
      </w:rPr>
      <w:t xml:space="preserve"> </w:t>
    </w:r>
    <w:r w:rsidR="00D7418C">
      <w:rPr>
        <w:rFonts w:ascii="Arial" w:hAnsi="Arial" w:cs="Arial"/>
        <w:bCs/>
        <w:sz w:val="18"/>
        <w:szCs w:val="18"/>
        <w:lang w:val="en-US"/>
      </w:rPr>
      <w:t>of</w:t>
    </w:r>
    <w:r w:rsidR="005D51CF" w:rsidRPr="00D7418C">
      <w:rPr>
        <w:rFonts w:ascii="Arial" w:hAnsi="Arial" w:cs="Arial"/>
        <w:bCs/>
        <w:sz w:val="18"/>
        <w:szCs w:val="18"/>
        <w:lang w:val="en-US"/>
      </w:rPr>
      <w:t xml:space="preserve"> </w:t>
    </w:r>
    <w:r w:rsidR="005D51CF" w:rsidRPr="005D51CF">
      <w:rPr>
        <w:rFonts w:ascii="Arial" w:hAnsi="Arial" w:cs="Arial"/>
        <w:bCs/>
        <w:sz w:val="18"/>
        <w:szCs w:val="18"/>
        <w:lang w:val="uk-UA"/>
      </w:rPr>
      <w:fldChar w:fldCharType="begin"/>
    </w:r>
    <w:r w:rsidR="005D51CF" w:rsidRPr="005D51CF">
      <w:rPr>
        <w:rFonts w:ascii="Arial" w:hAnsi="Arial" w:cs="Arial"/>
        <w:bCs/>
        <w:sz w:val="18"/>
        <w:szCs w:val="18"/>
        <w:lang w:val="uk-UA"/>
      </w:rPr>
      <w:instrText>NUMPAGES  \* Arabic  \* MERGEFORMAT</w:instrText>
    </w:r>
    <w:r w:rsidR="005D51CF" w:rsidRPr="005D51CF">
      <w:rPr>
        <w:rFonts w:ascii="Arial" w:hAnsi="Arial" w:cs="Arial"/>
        <w:bCs/>
        <w:sz w:val="18"/>
        <w:szCs w:val="18"/>
        <w:lang w:val="uk-UA"/>
      </w:rPr>
      <w:fldChar w:fldCharType="separate"/>
    </w:r>
    <w:r w:rsidR="005D51CF" w:rsidRPr="005D51CF">
      <w:rPr>
        <w:rFonts w:ascii="Arial" w:hAnsi="Arial" w:cs="Arial"/>
        <w:bCs/>
        <w:sz w:val="18"/>
        <w:szCs w:val="18"/>
        <w:lang w:val="uk-UA"/>
      </w:rPr>
      <w:t>2</w:t>
    </w:r>
    <w:r w:rsidR="005D51CF" w:rsidRPr="005D51CF">
      <w:rPr>
        <w:rFonts w:ascii="Arial" w:hAnsi="Arial" w:cs="Arial"/>
        <w:bCs/>
        <w:sz w:val="18"/>
        <w:szCs w:val="18"/>
        <w:lang w:val="uk-UA"/>
      </w:rPr>
      <w:fldChar w:fldCharType="end"/>
    </w:r>
    <w:r w:rsidR="005D51CF">
      <w:rPr>
        <w:rFonts w:ascii="Arial" w:hAnsi="Arial" w:cs="Arial"/>
        <w:sz w:val="18"/>
        <w:szCs w:val="18"/>
        <w:lang w:val="uk-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A991" w14:textId="77777777" w:rsidR="00165788" w:rsidRDefault="00165788">
      <w:r>
        <w:separator/>
      </w:r>
    </w:p>
  </w:footnote>
  <w:footnote w:type="continuationSeparator" w:id="0">
    <w:p w14:paraId="5F9A9450" w14:textId="77777777" w:rsidR="00165788" w:rsidRDefault="0016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ADD9" w14:textId="51E958BF" w:rsidR="004739AB" w:rsidRDefault="004739AB" w:rsidP="00B64661">
    <w:pPr>
      <w:pStyle w:val="a6"/>
      <w:rPr>
        <w:i/>
        <w:iCs/>
        <w:lang w:val="uk-UA"/>
      </w:rPr>
    </w:pPr>
  </w:p>
  <w:p w14:paraId="7FFE70C6" w14:textId="77777777" w:rsidR="004739AB" w:rsidRDefault="004739AB" w:rsidP="00B64661">
    <w:pPr>
      <w:pStyle w:val="a6"/>
      <w:rPr>
        <w:i/>
        <w:iCs/>
        <w:lang w:val="uk-UA"/>
      </w:rPr>
    </w:pPr>
  </w:p>
  <w:p w14:paraId="425BAC2F" w14:textId="77777777" w:rsidR="004739AB" w:rsidRPr="006318B9" w:rsidRDefault="004739AB" w:rsidP="004739AB">
    <w:pPr>
      <w:pStyle w:val="a6"/>
      <w:rPr>
        <w:i/>
        <w:iCs/>
        <w:lang w:val="en-US"/>
      </w:rPr>
    </w:pPr>
    <w:r w:rsidRPr="006318B9">
      <w:rPr>
        <w:i/>
        <w:iCs/>
        <w:lang w:val="en-US"/>
      </w:rPr>
      <w:t>Customer footer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198"/>
    <w:multiLevelType w:val="hybridMultilevel"/>
    <w:tmpl w:val="772675B2"/>
    <w:lvl w:ilvl="0" w:tplc="BEA41E66">
      <w:start w:val="1"/>
      <w:numFmt w:val="decimal"/>
      <w:lvlText w:val="%1."/>
      <w:lvlJc w:val="left"/>
      <w:pPr>
        <w:ind w:left="76" w:hanging="360"/>
      </w:pPr>
      <w:rPr>
        <w:rFonts w:ascii="Times New Roman" w:hAnsi="Times New Roman" w:hint="default"/>
        <w:color w:val="auto"/>
        <w:sz w:val="22"/>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 w15:restartNumberingAfterBreak="0">
    <w:nsid w:val="0DBC0BEB"/>
    <w:multiLevelType w:val="hybridMultilevel"/>
    <w:tmpl w:val="EE3E79EA"/>
    <w:lvl w:ilvl="0" w:tplc="F000CBF4">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645F5D"/>
    <w:multiLevelType w:val="hybridMultilevel"/>
    <w:tmpl w:val="7B2A5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781813"/>
    <w:multiLevelType w:val="hybridMultilevel"/>
    <w:tmpl w:val="06AE8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237D16"/>
    <w:multiLevelType w:val="hybridMultilevel"/>
    <w:tmpl w:val="A9EAF444"/>
    <w:lvl w:ilvl="0" w:tplc="632E72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8AA3792"/>
    <w:multiLevelType w:val="hybridMultilevel"/>
    <w:tmpl w:val="21B45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34376"/>
    <w:multiLevelType w:val="hybridMultilevel"/>
    <w:tmpl w:val="AF327C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1152B9E"/>
    <w:multiLevelType w:val="hybridMultilevel"/>
    <w:tmpl w:val="CB1A5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2628E2"/>
    <w:multiLevelType w:val="hybridMultilevel"/>
    <w:tmpl w:val="B330ED5E"/>
    <w:lvl w:ilvl="0" w:tplc="C7D81FC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974272"/>
    <w:multiLevelType w:val="hybridMultilevel"/>
    <w:tmpl w:val="948E91BA"/>
    <w:lvl w:ilvl="0" w:tplc="A28074F6">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2C6E52"/>
    <w:multiLevelType w:val="hybridMultilevel"/>
    <w:tmpl w:val="E194A28E"/>
    <w:lvl w:ilvl="0" w:tplc="512A4E58">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abstractNum w:abstractNumId="11" w15:restartNumberingAfterBreak="0">
    <w:nsid w:val="3E62001F"/>
    <w:multiLevelType w:val="hybridMultilevel"/>
    <w:tmpl w:val="1BD2C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4BB0462"/>
    <w:multiLevelType w:val="hybridMultilevel"/>
    <w:tmpl w:val="F02679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54954A5"/>
    <w:multiLevelType w:val="hybridMultilevel"/>
    <w:tmpl w:val="0E10F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3D3B77"/>
    <w:multiLevelType w:val="hybridMultilevel"/>
    <w:tmpl w:val="B36007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A9B6368"/>
    <w:multiLevelType w:val="hybridMultilevel"/>
    <w:tmpl w:val="16BC7A14"/>
    <w:lvl w:ilvl="0" w:tplc="A05ED44C">
      <w:start w:val="1"/>
      <w:numFmt w:val="bullet"/>
      <w:lvlText w:val="-"/>
      <w:lvlJc w:val="left"/>
      <w:pPr>
        <w:tabs>
          <w:tab w:val="num" w:pos="464"/>
        </w:tabs>
        <w:ind w:left="464" w:hanging="360"/>
      </w:pPr>
      <w:rPr>
        <w:rFonts w:ascii="Arial" w:eastAsia="Times New Roman" w:hAnsi="Arial" w:cs="Arial" w:hint="default"/>
        <w:b/>
        <w:i/>
      </w:rPr>
    </w:lvl>
    <w:lvl w:ilvl="1" w:tplc="04190003" w:tentative="1">
      <w:start w:val="1"/>
      <w:numFmt w:val="bullet"/>
      <w:lvlText w:val="o"/>
      <w:lvlJc w:val="left"/>
      <w:pPr>
        <w:tabs>
          <w:tab w:val="num" w:pos="1184"/>
        </w:tabs>
        <w:ind w:left="1184" w:hanging="360"/>
      </w:pPr>
      <w:rPr>
        <w:rFonts w:ascii="Courier New" w:hAnsi="Courier New" w:cs="Courier New" w:hint="default"/>
      </w:rPr>
    </w:lvl>
    <w:lvl w:ilvl="2" w:tplc="04190005" w:tentative="1">
      <w:start w:val="1"/>
      <w:numFmt w:val="bullet"/>
      <w:lvlText w:val=""/>
      <w:lvlJc w:val="left"/>
      <w:pPr>
        <w:tabs>
          <w:tab w:val="num" w:pos="1904"/>
        </w:tabs>
        <w:ind w:left="1904" w:hanging="360"/>
      </w:pPr>
      <w:rPr>
        <w:rFonts w:ascii="Wingdings" w:hAnsi="Wingdings" w:hint="default"/>
      </w:rPr>
    </w:lvl>
    <w:lvl w:ilvl="3" w:tplc="04190001" w:tentative="1">
      <w:start w:val="1"/>
      <w:numFmt w:val="bullet"/>
      <w:lvlText w:val=""/>
      <w:lvlJc w:val="left"/>
      <w:pPr>
        <w:tabs>
          <w:tab w:val="num" w:pos="2624"/>
        </w:tabs>
        <w:ind w:left="2624" w:hanging="360"/>
      </w:pPr>
      <w:rPr>
        <w:rFonts w:ascii="Symbol" w:hAnsi="Symbol" w:hint="default"/>
      </w:rPr>
    </w:lvl>
    <w:lvl w:ilvl="4" w:tplc="04190003" w:tentative="1">
      <w:start w:val="1"/>
      <w:numFmt w:val="bullet"/>
      <w:lvlText w:val="o"/>
      <w:lvlJc w:val="left"/>
      <w:pPr>
        <w:tabs>
          <w:tab w:val="num" w:pos="3344"/>
        </w:tabs>
        <w:ind w:left="3344" w:hanging="360"/>
      </w:pPr>
      <w:rPr>
        <w:rFonts w:ascii="Courier New" w:hAnsi="Courier New" w:cs="Courier New" w:hint="default"/>
      </w:rPr>
    </w:lvl>
    <w:lvl w:ilvl="5" w:tplc="04190005" w:tentative="1">
      <w:start w:val="1"/>
      <w:numFmt w:val="bullet"/>
      <w:lvlText w:val=""/>
      <w:lvlJc w:val="left"/>
      <w:pPr>
        <w:tabs>
          <w:tab w:val="num" w:pos="4064"/>
        </w:tabs>
        <w:ind w:left="4064" w:hanging="360"/>
      </w:pPr>
      <w:rPr>
        <w:rFonts w:ascii="Wingdings" w:hAnsi="Wingdings" w:hint="default"/>
      </w:rPr>
    </w:lvl>
    <w:lvl w:ilvl="6" w:tplc="04190001" w:tentative="1">
      <w:start w:val="1"/>
      <w:numFmt w:val="bullet"/>
      <w:lvlText w:val=""/>
      <w:lvlJc w:val="left"/>
      <w:pPr>
        <w:tabs>
          <w:tab w:val="num" w:pos="4784"/>
        </w:tabs>
        <w:ind w:left="4784" w:hanging="360"/>
      </w:pPr>
      <w:rPr>
        <w:rFonts w:ascii="Symbol" w:hAnsi="Symbol" w:hint="default"/>
      </w:rPr>
    </w:lvl>
    <w:lvl w:ilvl="7" w:tplc="04190003" w:tentative="1">
      <w:start w:val="1"/>
      <w:numFmt w:val="bullet"/>
      <w:lvlText w:val="o"/>
      <w:lvlJc w:val="left"/>
      <w:pPr>
        <w:tabs>
          <w:tab w:val="num" w:pos="5504"/>
        </w:tabs>
        <w:ind w:left="5504" w:hanging="360"/>
      </w:pPr>
      <w:rPr>
        <w:rFonts w:ascii="Courier New" w:hAnsi="Courier New" w:cs="Courier New" w:hint="default"/>
      </w:rPr>
    </w:lvl>
    <w:lvl w:ilvl="8" w:tplc="04190005" w:tentative="1">
      <w:start w:val="1"/>
      <w:numFmt w:val="bullet"/>
      <w:lvlText w:val=""/>
      <w:lvlJc w:val="left"/>
      <w:pPr>
        <w:tabs>
          <w:tab w:val="num" w:pos="6224"/>
        </w:tabs>
        <w:ind w:left="6224" w:hanging="360"/>
      </w:pPr>
      <w:rPr>
        <w:rFonts w:ascii="Wingdings" w:hAnsi="Wingdings" w:hint="default"/>
      </w:rPr>
    </w:lvl>
  </w:abstractNum>
  <w:abstractNum w:abstractNumId="16" w15:restartNumberingAfterBreak="0">
    <w:nsid w:val="606E2F69"/>
    <w:multiLevelType w:val="hybridMultilevel"/>
    <w:tmpl w:val="2050F6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3EA23EA"/>
    <w:multiLevelType w:val="hybridMultilevel"/>
    <w:tmpl w:val="5EF8D6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8436758"/>
    <w:multiLevelType w:val="hybridMultilevel"/>
    <w:tmpl w:val="A3CEA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EA1B89"/>
    <w:multiLevelType w:val="hybridMultilevel"/>
    <w:tmpl w:val="55F2A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16"/>
  </w:num>
  <w:num w:numId="4">
    <w:abstractNumId w:val="5"/>
  </w:num>
  <w:num w:numId="5">
    <w:abstractNumId w:val="11"/>
  </w:num>
  <w:num w:numId="6">
    <w:abstractNumId w:val="2"/>
  </w:num>
  <w:num w:numId="7">
    <w:abstractNumId w:val="19"/>
  </w:num>
  <w:num w:numId="8">
    <w:abstractNumId w:val="8"/>
  </w:num>
  <w:num w:numId="9">
    <w:abstractNumId w:val="14"/>
  </w:num>
  <w:num w:numId="10">
    <w:abstractNumId w:val="3"/>
  </w:num>
  <w:num w:numId="11">
    <w:abstractNumId w:val="15"/>
  </w:num>
  <w:num w:numId="12">
    <w:abstractNumId w:val="13"/>
  </w:num>
  <w:num w:numId="13">
    <w:abstractNumId w:val="1"/>
  </w:num>
  <w:num w:numId="14">
    <w:abstractNumId w:val="7"/>
  </w:num>
  <w:num w:numId="15">
    <w:abstractNumId w:val="18"/>
  </w:num>
  <w:num w:numId="16">
    <w:abstractNumId w:val="4"/>
  </w:num>
  <w:num w:numId="17">
    <w:abstractNumId w:val="9"/>
  </w:num>
  <w:num w:numId="18">
    <w:abstractNumId w:val="10"/>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CD"/>
    <w:rsid w:val="0001003A"/>
    <w:rsid w:val="00022CBE"/>
    <w:rsid w:val="00024903"/>
    <w:rsid w:val="000340BA"/>
    <w:rsid w:val="0006053A"/>
    <w:rsid w:val="000661B6"/>
    <w:rsid w:val="000662B4"/>
    <w:rsid w:val="00066595"/>
    <w:rsid w:val="00072A9B"/>
    <w:rsid w:val="000730DE"/>
    <w:rsid w:val="0007535A"/>
    <w:rsid w:val="0008123A"/>
    <w:rsid w:val="0008285F"/>
    <w:rsid w:val="0008455C"/>
    <w:rsid w:val="00085F5A"/>
    <w:rsid w:val="000A0CAA"/>
    <w:rsid w:val="000B7C92"/>
    <w:rsid w:val="000C28FA"/>
    <w:rsid w:val="000D25CD"/>
    <w:rsid w:val="000D4219"/>
    <w:rsid w:val="000D49BF"/>
    <w:rsid w:val="000D7456"/>
    <w:rsid w:val="000E3411"/>
    <w:rsid w:val="000F0C67"/>
    <w:rsid w:val="000F46CD"/>
    <w:rsid w:val="000F4D99"/>
    <w:rsid w:val="001140ED"/>
    <w:rsid w:val="00114CA3"/>
    <w:rsid w:val="001404B0"/>
    <w:rsid w:val="00146288"/>
    <w:rsid w:val="00146547"/>
    <w:rsid w:val="001529E4"/>
    <w:rsid w:val="00165788"/>
    <w:rsid w:val="0017287C"/>
    <w:rsid w:val="0019106E"/>
    <w:rsid w:val="001946DC"/>
    <w:rsid w:val="001B29F5"/>
    <w:rsid w:val="001B71F3"/>
    <w:rsid w:val="001D044D"/>
    <w:rsid w:val="001D3A5C"/>
    <w:rsid w:val="001D472C"/>
    <w:rsid w:val="001E4B8D"/>
    <w:rsid w:val="001E7D2C"/>
    <w:rsid w:val="001F6F4A"/>
    <w:rsid w:val="002034BA"/>
    <w:rsid w:val="0021754E"/>
    <w:rsid w:val="00225AD3"/>
    <w:rsid w:val="002348AE"/>
    <w:rsid w:val="00235396"/>
    <w:rsid w:val="0026283D"/>
    <w:rsid w:val="00274C60"/>
    <w:rsid w:val="00284D3C"/>
    <w:rsid w:val="0029439E"/>
    <w:rsid w:val="002A504B"/>
    <w:rsid w:val="002D28A8"/>
    <w:rsid w:val="002D60D7"/>
    <w:rsid w:val="002D67A3"/>
    <w:rsid w:val="002E0FD0"/>
    <w:rsid w:val="002E1D26"/>
    <w:rsid w:val="002E61A0"/>
    <w:rsid w:val="002F3FC5"/>
    <w:rsid w:val="002F6278"/>
    <w:rsid w:val="00315A21"/>
    <w:rsid w:val="0032080C"/>
    <w:rsid w:val="003247F7"/>
    <w:rsid w:val="00332B8D"/>
    <w:rsid w:val="003365E7"/>
    <w:rsid w:val="00343F09"/>
    <w:rsid w:val="00350BE8"/>
    <w:rsid w:val="0035448C"/>
    <w:rsid w:val="0036108C"/>
    <w:rsid w:val="00372CA4"/>
    <w:rsid w:val="003748EA"/>
    <w:rsid w:val="003751BE"/>
    <w:rsid w:val="00375B98"/>
    <w:rsid w:val="003865AD"/>
    <w:rsid w:val="00391470"/>
    <w:rsid w:val="00391AEA"/>
    <w:rsid w:val="003B4E83"/>
    <w:rsid w:val="003B559C"/>
    <w:rsid w:val="003D0B1A"/>
    <w:rsid w:val="003D4084"/>
    <w:rsid w:val="003D691E"/>
    <w:rsid w:val="003D75FC"/>
    <w:rsid w:val="003E7AA5"/>
    <w:rsid w:val="003F5CBD"/>
    <w:rsid w:val="00413AC0"/>
    <w:rsid w:val="00425E35"/>
    <w:rsid w:val="00440D31"/>
    <w:rsid w:val="00444DF6"/>
    <w:rsid w:val="00451DD8"/>
    <w:rsid w:val="0046240F"/>
    <w:rsid w:val="00465631"/>
    <w:rsid w:val="004739AB"/>
    <w:rsid w:val="004862A7"/>
    <w:rsid w:val="0049051E"/>
    <w:rsid w:val="004A635B"/>
    <w:rsid w:val="004B46EC"/>
    <w:rsid w:val="004C057A"/>
    <w:rsid w:val="004F0C59"/>
    <w:rsid w:val="00506A9C"/>
    <w:rsid w:val="0051022C"/>
    <w:rsid w:val="00512629"/>
    <w:rsid w:val="005224FE"/>
    <w:rsid w:val="005234C3"/>
    <w:rsid w:val="00535018"/>
    <w:rsid w:val="00544ED9"/>
    <w:rsid w:val="00567B6C"/>
    <w:rsid w:val="00570413"/>
    <w:rsid w:val="00572D96"/>
    <w:rsid w:val="00575312"/>
    <w:rsid w:val="0057769D"/>
    <w:rsid w:val="0058124A"/>
    <w:rsid w:val="005906A5"/>
    <w:rsid w:val="005936AC"/>
    <w:rsid w:val="005A3A0A"/>
    <w:rsid w:val="005B1A7D"/>
    <w:rsid w:val="005C549E"/>
    <w:rsid w:val="005D51CF"/>
    <w:rsid w:val="005E18CF"/>
    <w:rsid w:val="005E49D6"/>
    <w:rsid w:val="005E6C5E"/>
    <w:rsid w:val="006009CF"/>
    <w:rsid w:val="006021FF"/>
    <w:rsid w:val="00611452"/>
    <w:rsid w:val="00614663"/>
    <w:rsid w:val="00626C81"/>
    <w:rsid w:val="00631896"/>
    <w:rsid w:val="006318B9"/>
    <w:rsid w:val="006337BC"/>
    <w:rsid w:val="00636492"/>
    <w:rsid w:val="0064382E"/>
    <w:rsid w:val="006450CF"/>
    <w:rsid w:val="00647797"/>
    <w:rsid w:val="0066632C"/>
    <w:rsid w:val="00674B3D"/>
    <w:rsid w:val="00684EDE"/>
    <w:rsid w:val="00685CCA"/>
    <w:rsid w:val="0069032C"/>
    <w:rsid w:val="006A5D81"/>
    <w:rsid w:val="006B50B1"/>
    <w:rsid w:val="006D628E"/>
    <w:rsid w:val="006F3150"/>
    <w:rsid w:val="007034D7"/>
    <w:rsid w:val="00706E34"/>
    <w:rsid w:val="00710639"/>
    <w:rsid w:val="00712BFC"/>
    <w:rsid w:val="0072184A"/>
    <w:rsid w:val="00733894"/>
    <w:rsid w:val="00740BB5"/>
    <w:rsid w:val="007415A0"/>
    <w:rsid w:val="0075035E"/>
    <w:rsid w:val="00753B9B"/>
    <w:rsid w:val="00767F83"/>
    <w:rsid w:val="00771609"/>
    <w:rsid w:val="00772DBF"/>
    <w:rsid w:val="007777EE"/>
    <w:rsid w:val="00783B36"/>
    <w:rsid w:val="00792234"/>
    <w:rsid w:val="00792805"/>
    <w:rsid w:val="00796F10"/>
    <w:rsid w:val="00797800"/>
    <w:rsid w:val="007A7ADF"/>
    <w:rsid w:val="007B3DC1"/>
    <w:rsid w:val="007B64A0"/>
    <w:rsid w:val="007C3CE8"/>
    <w:rsid w:val="007D39D6"/>
    <w:rsid w:val="007E435E"/>
    <w:rsid w:val="007E5948"/>
    <w:rsid w:val="007E6B65"/>
    <w:rsid w:val="007E74D6"/>
    <w:rsid w:val="00802760"/>
    <w:rsid w:val="00804D9D"/>
    <w:rsid w:val="00813631"/>
    <w:rsid w:val="0082266F"/>
    <w:rsid w:val="0082286F"/>
    <w:rsid w:val="008357B3"/>
    <w:rsid w:val="00836F0D"/>
    <w:rsid w:val="00844E35"/>
    <w:rsid w:val="008454B1"/>
    <w:rsid w:val="00846598"/>
    <w:rsid w:val="00855BCC"/>
    <w:rsid w:val="00866D02"/>
    <w:rsid w:val="00871F64"/>
    <w:rsid w:val="00875A0D"/>
    <w:rsid w:val="00880A64"/>
    <w:rsid w:val="008812A1"/>
    <w:rsid w:val="00881E09"/>
    <w:rsid w:val="00886D0B"/>
    <w:rsid w:val="008B216E"/>
    <w:rsid w:val="008B36CF"/>
    <w:rsid w:val="008B6438"/>
    <w:rsid w:val="008D148A"/>
    <w:rsid w:val="008D385F"/>
    <w:rsid w:val="008F4A93"/>
    <w:rsid w:val="008F7BB8"/>
    <w:rsid w:val="009025E6"/>
    <w:rsid w:val="00910762"/>
    <w:rsid w:val="00922EEE"/>
    <w:rsid w:val="00922F17"/>
    <w:rsid w:val="00934756"/>
    <w:rsid w:val="00952DE1"/>
    <w:rsid w:val="009761EF"/>
    <w:rsid w:val="00976587"/>
    <w:rsid w:val="009804C0"/>
    <w:rsid w:val="009938B0"/>
    <w:rsid w:val="009958DD"/>
    <w:rsid w:val="00997188"/>
    <w:rsid w:val="00997668"/>
    <w:rsid w:val="009A0186"/>
    <w:rsid w:val="009B4AE7"/>
    <w:rsid w:val="009B6687"/>
    <w:rsid w:val="009C120B"/>
    <w:rsid w:val="009C5848"/>
    <w:rsid w:val="009D0765"/>
    <w:rsid w:val="009D63C4"/>
    <w:rsid w:val="009E44BE"/>
    <w:rsid w:val="009E53B6"/>
    <w:rsid w:val="009F0C98"/>
    <w:rsid w:val="009F1DE9"/>
    <w:rsid w:val="009F4A47"/>
    <w:rsid w:val="009F759B"/>
    <w:rsid w:val="00A03572"/>
    <w:rsid w:val="00A066C8"/>
    <w:rsid w:val="00A06C01"/>
    <w:rsid w:val="00A14060"/>
    <w:rsid w:val="00A203BC"/>
    <w:rsid w:val="00A31B8D"/>
    <w:rsid w:val="00A37516"/>
    <w:rsid w:val="00A407EC"/>
    <w:rsid w:val="00A412C8"/>
    <w:rsid w:val="00A41A71"/>
    <w:rsid w:val="00A46E23"/>
    <w:rsid w:val="00A47395"/>
    <w:rsid w:val="00A70A41"/>
    <w:rsid w:val="00A804F8"/>
    <w:rsid w:val="00A805E8"/>
    <w:rsid w:val="00A805FC"/>
    <w:rsid w:val="00A826CE"/>
    <w:rsid w:val="00A82FD9"/>
    <w:rsid w:val="00A87CDA"/>
    <w:rsid w:val="00A93734"/>
    <w:rsid w:val="00A939AF"/>
    <w:rsid w:val="00AA583C"/>
    <w:rsid w:val="00AB1878"/>
    <w:rsid w:val="00AB3022"/>
    <w:rsid w:val="00AC2AB3"/>
    <w:rsid w:val="00AD52F0"/>
    <w:rsid w:val="00AF45FD"/>
    <w:rsid w:val="00B02A8A"/>
    <w:rsid w:val="00B1155C"/>
    <w:rsid w:val="00B1245F"/>
    <w:rsid w:val="00B46B31"/>
    <w:rsid w:val="00B64661"/>
    <w:rsid w:val="00B66EDB"/>
    <w:rsid w:val="00B70BF2"/>
    <w:rsid w:val="00B72278"/>
    <w:rsid w:val="00B801AB"/>
    <w:rsid w:val="00B83707"/>
    <w:rsid w:val="00B8569B"/>
    <w:rsid w:val="00B85E91"/>
    <w:rsid w:val="00B9495D"/>
    <w:rsid w:val="00BA0DDB"/>
    <w:rsid w:val="00BB03B2"/>
    <w:rsid w:val="00BB0CA7"/>
    <w:rsid w:val="00BB38F7"/>
    <w:rsid w:val="00BC644F"/>
    <w:rsid w:val="00BC71A8"/>
    <w:rsid w:val="00BE1EC0"/>
    <w:rsid w:val="00BE40E4"/>
    <w:rsid w:val="00C01ECC"/>
    <w:rsid w:val="00C03488"/>
    <w:rsid w:val="00C17F3D"/>
    <w:rsid w:val="00C270A5"/>
    <w:rsid w:val="00C3073A"/>
    <w:rsid w:val="00C30DF5"/>
    <w:rsid w:val="00C32854"/>
    <w:rsid w:val="00C346DE"/>
    <w:rsid w:val="00C405DF"/>
    <w:rsid w:val="00C5794F"/>
    <w:rsid w:val="00C712BA"/>
    <w:rsid w:val="00C739AF"/>
    <w:rsid w:val="00C743D7"/>
    <w:rsid w:val="00C76FC1"/>
    <w:rsid w:val="00C865FB"/>
    <w:rsid w:val="00C973F5"/>
    <w:rsid w:val="00CA2862"/>
    <w:rsid w:val="00CA3503"/>
    <w:rsid w:val="00CA6EEC"/>
    <w:rsid w:val="00CC62C6"/>
    <w:rsid w:val="00CC63B1"/>
    <w:rsid w:val="00CD19E0"/>
    <w:rsid w:val="00CE17C6"/>
    <w:rsid w:val="00CE47D7"/>
    <w:rsid w:val="00CF09E8"/>
    <w:rsid w:val="00CF2EDF"/>
    <w:rsid w:val="00CF4DD3"/>
    <w:rsid w:val="00D05CD3"/>
    <w:rsid w:val="00D0756C"/>
    <w:rsid w:val="00D12E4D"/>
    <w:rsid w:val="00D154F5"/>
    <w:rsid w:val="00D15E8E"/>
    <w:rsid w:val="00D23621"/>
    <w:rsid w:val="00D26808"/>
    <w:rsid w:val="00D34FD8"/>
    <w:rsid w:val="00D40CEC"/>
    <w:rsid w:val="00D423C0"/>
    <w:rsid w:val="00D53D1E"/>
    <w:rsid w:val="00D644B0"/>
    <w:rsid w:val="00D7207F"/>
    <w:rsid w:val="00D7418C"/>
    <w:rsid w:val="00D75EEC"/>
    <w:rsid w:val="00D8032E"/>
    <w:rsid w:val="00D851F7"/>
    <w:rsid w:val="00D8676E"/>
    <w:rsid w:val="00D91348"/>
    <w:rsid w:val="00D913F0"/>
    <w:rsid w:val="00D930C8"/>
    <w:rsid w:val="00DC3983"/>
    <w:rsid w:val="00DE5D44"/>
    <w:rsid w:val="00DF353A"/>
    <w:rsid w:val="00E02033"/>
    <w:rsid w:val="00E03BA7"/>
    <w:rsid w:val="00E05E96"/>
    <w:rsid w:val="00E13D0E"/>
    <w:rsid w:val="00E1486A"/>
    <w:rsid w:val="00E61464"/>
    <w:rsid w:val="00E6167E"/>
    <w:rsid w:val="00E73F12"/>
    <w:rsid w:val="00E855FE"/>
    <w:rsid w:val="00E866FC"/>
    <w:rsid w:val="00E87F78"/>
    <w:rsid w:val="00E91909"/>
    <w:rsid w:val="00EC0172"/>
    <w:rsid w:val="00EC203C"/>
    <w:rsid w:val="00EC4968"/>
    <w:rsid w:val="00ED5AF8"/>
    <w:rsid w:val="00EF24EE"/>
    <w:rsid w:val="00EF54AD"/>
    <w:rsid w:val="00F049E5"/>
    <w:rsid w:val="00F162C5"/>
    <w:rsid w:val="00F2142C"/>
    <w:rsid w:val="00F407A0"/>
    <w:rsid w:val="00F44271"/>
    <w:rsid w:val="00F5055D"/>
    <w:rsid w:val="00F64951"/>
    <w:rsid w:val="00F72706"/>
    <w:rsid w:val="00F73CFC"/>
    <w:rsid w:val="00F80429"/>
    <w:rsid w:val="00F8143E"/>
    <w:rsid w:val="00F83C0A"/>
    <w:rsid w:val="00F91C74"/>
    <w:rsid w:val="00FA5613"/>
    <w:rsid w:val="00FB0CEA"/>
    <w:rsid w:val="00FB26A2"/>
    <w:rsid w:val="00FB7197"/>
    <w:rsid w:val="00FB7E1D"/>
    <w:rsid w:val="00FC3CDE"/>
    <w:rsid w:val="00FC3D7C"/>
    <w:rsid w:val="00FC619F"/>
    <w:rsid w:val="00FD25AD"/>
    <w:rsid w:val="00FD3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DF6E105"/>
  <w15:chartTrackingRefBased/>
  <w15:docId w15:val="{040480DE-ABC8-4B11-8AFD-C373394A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ru-RU" w:eastAsia="ru-RU"/>
    </w:rPr>
  </w:style>
  <w:style w:type="paragraph" w:styleId="1">
    <w:name w:val="heading 1"/>
    <w:basedOn w:val="a"/>
    <w:next w:val="a"/>
    <w:qFormat/>
    <w:pPr>
      <w:keepNext/>
      <w:ind w:right="-428"/>
      <w:jc w:val="both"/>
      <w:outlineLvl w:val="0"/>
    </w:pPr>
    <w:rPr>
      <w:sz w:val="28"/>
      <w:lang w:val="uk-UA"/>
    </w:rPr>
  </w:style>
  <w:style w:type="paragraph" w:styleId="2">
    <w:name w:val="heading 2"/>
    <w:basedOn w:val="a"/>
    <w:next w:val="a"/>
    <w:qFormat/>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uiPriority w:val="99"/>
    <w:qFormat/>
    <w:pPr>
      <w:jc w:val="center"/>
    </w:pPr>
    <w:rPr>
      <w:sz w:val="24"/>
      <w:lang w:val="uk-UA"/>
    </w:rPr>
  </w:style>
  <w:style w:type="paragraph" w:styleId="a5">
    <w:name w:val="Body Text Indent"/>
    <w:basedOn w:val="a"/>
    <w:pPr>
      <w:ind w:firstLine="720"/>
      <w:jc w:val="both"/>
    </w:pPr>
    <w:rPr>
      <w:sz w:val="28"/>
      <w:lang w:val="uk-UA"/>
    </w:rPr>
  </w:style>
  <w:style w:type="paragraph" w:styleId="a6">
    <w:name w:val="header"/>
    <w:basedOn w:val="a"/>
    <w:link w:val="a7"/>
    <w:uiPriority w:val="99"/>
    <w:rsid w:val="00F64951"/>
    <w:pPr>
      <w:tabs>
        <w:tab w:val="center" w:pos="4677"/>
        <w:tab w:val="right" w:pos="9355"/>
      </w:tabs>
    </w:pPr>
  </w:style>
  <w:style w:type="paragraph" w:styleId="a8">
    <w:name w:val="footer"/>
    <w:basedOn w:val="a"/>
    <w:rsid w:val="00F64951"/>
    <w:pPr>
      <w:tabs>
        <w:tab w:val="center" w:pos="4677"/>
        <w:tab w:val="right" w:pos="9355"/>
      </w:tabs>
    </w:pPr>
  </w:style>
  <w:style w:type="character" w:styleId="a9">
    <w:name w:val="page number"/>
    <w:basedOn w:val="a0"/>
    <w:rsid w:val="00F64951"/>
  </w:style>
  <w:style w:type="table" w:styleId="aa">
    <w:name w:val="Table Grid"/>
    <w:basedOn w:val="a1"/>
    <w:uiPriority w:val="59"/>
    <w:rsid w:val="000D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544ED9"/>
    <w:rPr>
      <w:rFonts w:ascii="Tahoma" w:hAnsi="Tahoma" w:cs="Tahoma"/>
      <w:sz w:val="16"/>
      <w:szCs w:val="16"/>
    </w:rPr>
  </w:style>
  <w:style w:type="character" w:customStyle="1" w:styleId="apple-converted-space">
    <w:name w:val="apple-converted-space"/>
    <w:basedOn w:val="a0"/>
    <w:rsid w:val="00022CBE"/>
  </w:style>
  <w:style w:type="paragraph" w:styleId="3">
    <w:name w:val="Body Text 3"/>
    <w:basedOn w:val="a"/>
    <w:link w:val="30"/>
    <w:rsid w:val="00E855FE"/>
    <w:pPr>
      <w:spacing w:after="120"/>
    </w:pPr>
    <w:rPr>
      <w:sz w:val="16"/>
      <w:szCs w:val="16"/>
    </w:rPr>
  </w:style>
  <w:style w:type="character" w:customStyle="1" w:styleId="30">
    <w:name w:val="Основной текст 3 Знак"/>
    <w:link w:val="3"/>
    <w:rsid w:val="00E855FE"/>
    <w:rPr>
      <w:sz w:val="16"/>
      <w:szCs w:val="16"/>
    </w:rPr>
  </w:style>
  <w:style w:type="paragraph" w:styleId="ac">
    <w:name w:val="List Paragraph"/>
    <w:basedOn w:val="a"/>
    <w:uiPriority w:val="34"/>
    <w:qFormat/>
    <w:rsid w:val="005E18CF"/>
    <w:pPr>
      <w:spacing w:line="276" w:lineRule="auto"/>
      <w:ind w:left="720"/>
      <w:contextualSpacing/>
    </w:pPr>
    <w:rPr>
      <w:rFonts w:ascii="Arial" w:eastAsia="Arial" w:hAnsi="Arial" w:cs="Arial"/>
      <w:sz w:val="22"/>
      <w:szCs w:val="22"/>
      <w:lang w:eastAsia="uk-UA"/>
    </w:rPr>
  </w:style>
  <w:style w:type="character" w:styleId="ad">
    <w:name w:val="Hyperlink"/>
    <w:rsid w:val="000C28FA"/>
    <w:rPr>
      <w:color w:val="0000FF"/>
      <w:u w:val="single"/>
    </w:rPr>
  </w:style>
  <w:style w:type="character" w:customStyle="1" w:styleId="a4">
    <w:name w:val="Заголовок Знак"/>
    <w:aliases w:val="Название Знак"/>
    <w:link w:val="a3"/>
    <w:uiPriority w:val="99"/>
    <w:rsid w:val="00783B36"/>
    <w:rPr>
      <w:sz w:val="24"/>
      <w:lang w:val="uk-UA"/>
    </w:rPr>
  </w:style>
  <w:style w:type="character" w:styleId="ae">
    <w:name w:val="Unresolved Mention"/>
    <w:uiPriority w:val="99"/>
    <w:semiHidden/>
    <w:unhideWhenUsed/>
    <w:rsid w:val="002E61A0"/>
    <w:rPr>
      <w:color w:val="605E5C"/>
      <w:shd w:val="clear" w:color="auto" w:fill="E1DFDD"/>
    </w:rPr>
  </w:style>
  <w:style w:type="paragraph" w:styleId="HTML">
    <w:name w:val="HTML Preformatted"/>
    <w:basedOn w:val="a"/>
    <w:link w:val="HTML0"/>
    <w:uiPriority w:val="99"/>
    <w:unhideWhenUsed/>
    <w:rsid w:val="00024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link w:val="HTML"/>
    <w:uiPriority w:val="99"/>
    <w:rsid w:val="00024903"/>
    <w:rPr>
      <w:rFonts w:ascii="Courier New" w:hAnsi="Courier New" w:cs="Courier New"/>
    </w:rPr>
  </w:style>
  <w:style w:type="character" w:customStyle="1" w:styleId="y2iqfc">
    <w:name w:val="y2iqfc"/>
    <w:basedOn w:val="a0"/>
    <w:rsid w:val="00024903"/>
  </w:style>
  <w:style w:type="character" w:customStyle="1" w:styleId="a7">
    <w:name w:val="Верхний колонтитул Знак"/>
    <w:basedOn w:val="a0"/>
    <w:link w:val="a6"/>
    <w:uiPriority w:val="99"/>
    <w:rsid w:val="00B64661"/>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401">
      <w:bodyDiv w:val="1"/>
      <w:marLeft w:val="0"/>
      <w:marRight w:val="0"/>
      <w:marTop w:val="0"/>
      <w:marBottom w:val="0"/>
      <w:divBdr>
        <w:top w:val="none" w:sz="0" w:space="0" w:color="auto"/>
        <w:left w:val="none" w:sz="0" w:space="0" w:color="auto"/>
        <w:bottom w:val="none" w:sz="0" w:space="0" w:color="auto"/>
        <w:right w:val="none" w:sz="0" w:space="0" w:color="auto"/>
      </w:divBdr>
    </w:div>
    <w:div w:id="44989803">
      <w:bodyDiv w:val="1"/>
      <w:marLeft w:val="0"/>
      <w:marRight w:val="0"/>
      <w:marTop w:val="0"/>
      <w:marBottom w:val="0"/>
      <w:divBdr>
        <w:top w:val="none" w:sz="0" w:space="0" w:color="auto"/>
        <w:left w:val="none" w:sz="0" w:space="0" w:color="auto"/>
        <w:bottom w:val="none" w:sz="0" w:space="0" w:color="auto"/>
        <w:right w:val="none" w:sz="0" w:space="0" w:color="auto"/>
      </w:divBdr>
    </w:div>
    <w:div w:id="63846096">
      <w:bodyDiv w:val="1"/>
      <w:marLeft w:val="0"/>
      <w:marRight w:val="0"/>
      <w:marTop w:val="0"/>
      <w:marBottom w:val="0"/>
      <w:divBdr>
        <w:top w:val="none" w:sz="0" w:space="0" w:color="auto"/>
        <w:left w:val="none" w:sz="0" w:space="0" w:color="auto"/>
        <w:bottom w:val="none" w:sz="0" w:space="0" w:color="auto"/>
        <w:right w:val="none" w:sz="0" w:space="0" w:color="auto"/>
      </w:divBdr>
    </w:div>
    <w:div w:id="89663729">
      <w:bodyDiv w:val="1"/>
      <w:marLeft w:val="0"/>
      <w:marRight w:val="0"/>
      <w:marTop w:val="0"/>
      <w:marBottom w:val="0"/>
      <w:divBdr>
        <w:top w:val="none" w:sz="0" w:space="0" w:color="auto"/>
        <w:left w:val="none" w:sz="0" w:space="0" w:color="auto"/>
        <w:bottom w:val="none" w:sz="0" w:space="0" w:color="auto"/>
        <w:right w:val="none" w:sz="0" w:space="0" w:color="auto"/>
      </w:divBdr>
    </w:div>
    <w:div w:id="142356831">
      <w:bodyDiv w:val="1"/>
      <w:marLeft w:val="0"/>
      <w:marRight w:val="0"/>
      <w:marTop w:val="0"/>
      <w:marBottom w:val="0"/>
      <w:divBdr>
        <w:top w:val="none" w:sz="0" w:space="0" w:color="auto"/>
        <w:left w:val="none" w:sz="0" w:space="0" w:color="auto"/>
        <w:bottom w:val="none" w:sz="0" w:space="0" w:color="auto"/>
        <w:right w:val="none" w:sz="0" w:space="0" w:color="auto"/>
      </w:divBdr>
    </w:div>
    <w:div w:id="170417549">
      <w:bodyDiv w:val="1"/>
      <w:marLeft w:val="0"/>
      <w:marRight w:val="0"/>
      <w:marTop w:val="0"/>
      <w:marBottom w:val="0"/>
      <w:divBdr>
        <w:top w:val="none" w:sz="0" w:space="0" w:color="auto"/>
        <w:left w:val="none" w:sz="0" w:space="0" w:color="auto"/>
        <w:bottom w:val="none" w:sz="0" w:space="0" w:color="auto"/>
        <w:right w:val="none" w:sz="0" w:space="0" w:color="auto"/>
      </w:divBdr>
    </w:div>
    <w:div w:id="182138505">
      <w:bodyDiv w:val="1"/>
      <w:marLeft w:val="0"/>
      <w:marRight w:val="0"/>
      <w:marTop w:val="0"/>
      <w:marBottom w:val="0"/>
      <w:divBdr>
        <w:top w:val="none" w:sz="0" w:space="0" w:color="auto"/>
        <w:left w:val="none" w:sz="0" w:space="0" w:color="auto"/>
        <w:bottom w:val="none" w:sz="0" w:space="0" w:color="auto"/>
        <w:right w:val="none" w:sz="0" w:space="0" w:color="auto"/>
      </w:divBdr>
    </w:div>
    <w:div w:id="275603144">
      <w:bodyDiv w:val="1"/>
      <w:marLeft w:val="0"/>
      <w:marRight w:val="0"/>
      <w:marTop w:val="0"/>
      <w:marBottom w:val="0"/>
      <w:divBdr>
        <w:top w:val="none" w:sz="0" w:space="0" w:color="auto"/>
        <w:left w:val="none" w:sz="0" w:space="0" w:color="auto"/>
        <w:bottom w:val="none" w:sz="0" w:space="0" w:color="auto"/>
        <w:right w:val="none" w:sz="0" w:space="0" w:color="auto"/>
      </w:divBdr>
    </w:div>
    <w:div w:id="289173067">
      <w:bodyDiv w:val="1"/>
      <w:marLeft w:val="0"/>
      <w:marRight w:val="0"/>
      <w:marTop w:val="0"/>
      <w:marBottom w:val="0"/>
      <w:divBdr>
        <w:top w:val="none" w:sz="0" w:space="0" w:color="auto"/>
        <w:left w:val="none" w:sz="0" w:space="0" w:color="auto"/>
        <w:bottom w:val="none" w:sz="0" w:space="0" w:color="auto"/>
        <w:right w:val="none" w:sz="0" w:space="0" w:color="auto"/>
      </w:divBdr>
    </w:div>
    <w:div w:id="318703252">
      <w:bodyDiv w:val="1"/>
      <w:marLeft w:val="0"/>
      <w:marRight w:val="0"/>
      <w:marTop w:val="0"/>
      <w:marBottom w:val="0"/>
      <w:divBdr>
        <w:top w:val="none" w:sz="0" w:space="0" w:color="auto"/>
        <w:left w:val="none" w:sz="0" w:space="0" w:color="auto"/>
        <w:bottom w:val="none" w:sz="0" w:space="0" w:color="auto"/>
        <w:right w:val="none" w:sz="0" w:space="0" w:color="auto"/>
      </w:divBdr>
    </w:div>
    <w:div w:id="406389275">
      <w:bodyDiv w:val="1"/>
      <w:marLeft w:val="0"/>
      <w:marRight w:val="0"/>
      <w:marTop w:val="0"/>
      <w:marBottom w:val="0"/>
      <w:divBdr>
        <w:top w:val="none" w:sz="0" w:space="0" w:color="auto"/>
        <w:left w:val="none" w:sz="0" w:space="0" w:color="auto"/>
        <w:bottom w:val="none" w:sz="0" w:space="0" w:color="auto"/>
        <w:right w:val="none" w:sz="0" w:space="0" w:color="auto"/>
      </w:divBdr>
    </w:div>
    <w:div w:id="444008114">
      <w:bodyDiv w:val="1"/>
      <w:marLeft w:val="0"/>
      <w:marRight w:val="0"/>
      <w:marTop w:val="0"/>
      <w:marBottom w:val="0"/>
      <w:divBdr>
        <w:top w:val="none" w:sz="0" w:space="0" w:color="auto"/>
        <w:left w:val="none" w:sz="0" w:space="0" w:color="auto"/>
        <w:bottom w:val="none" w:sz="0" w:space="0" w:color="auto"/>
        <w:right w:val="none" w:sz="0" w:space="0" w:color="auto"/>
      </w:divBdr>
    </w:div>
    <w:div w:id="623466100">
      <w:bodyDiv w:val="1"/>
      <w:marLeft w:val="0"/>
      <w:marRight w:val="0"/>
      <w:marTop w:val="0"/>
      <w:marBottom w:val="0"/>
      <w:divBdr>
        <w:top w:val="none" w:sz="0" w:space="0" w:color="auto"/>
        <w:left w:val="none" w:sz="0" w:space="0" w:color="auto"/>
        <w:bottom w:val="none" w:sz="0" w:space="0" w:color="auto"/>
        <w:right w:val="none" w:sz="0" w:space="0" w:color="auto"/>
      </w:divBdr>
    </w:div>
    <w:div w:id="715930909">
      <w:bodyDiv w:val="1"/>
      <w:marLeft w:val="0"/>
      <w:marRight w:val="0"/>
      <w:marTop w:val="0"/>
      <w:marBottom w:val="0"/>
      <w:divBdr>
        <w:top w:val="none" w:sz="0" w:space="0" w:color="auto"/>
        <w:left w:val="none" w:sz="0" w:space="0" w:color="auto"/>
        <w:bottom w:val="none" w:sz="0" w:space="0" w:color="auto"/>
        <w:right w:val="none" w:sz="0" w:space="0" w:color="auto"/>
      </w:divBdr>
    </w:div>
    <w:div w:id="753824919">
      <w:bodyDiv w:val="1"/>
      <w:marLeft w:val="0"/>
      <w:marRight w:val="0"/>
      <w:marTop w:val="0"/>
      <w:marBottom w:val="0"/>
      <w:divBdr>
        <w:top w:val="none" w:sz="0" w:space="0" w:color="auto"/>
        <w:left w:val="none" w:sz="0" w:space="0" w:color="auto"/>
        <w:bottom w:val="none" w:sz="0" w:space="0" w:color="auto"/>
        <w:right w:val="none" w:sz="0" w:space="0" w:color="auto"/>
      </w:divBdr>
    </w:div>
    <w:div w:id="771360061">
      <w:bodyDiv w:val="1"/>
      <w:marLeft w:val="0"/>
      <w:marRight w:val="0"/>
      <w:marTop w:val="0"/>
      <w:marBottom w:val="0"/>
      <w:divBdr>
        <w:top w:val="none" w:sz="0" w:space="0" w:color="auto"/>
        <w:left w:val="none" w:sz="0" w:space="0" w:color="auto"/>
        <w:bottom w:val="none" w:sz="0" w:space="0" w:color="auto"/>
        <w:right w:val="none" w:sz="0" w:space="0" w:color="auto"/>
      </w:divBdr>
    </w:div>
    <w:div w:id="792675319">
      <w:bodyDiv w:val="1"/>
      <w:marLeft w:val="0"/>
      <w:marRight w:val="0"/>
      <w:marTop w:val="0"/>
      <w:marBottom w:val="0"/>
      <w:divBdr>
        <w:top w:val="none" w:sz="0" w:space="0" w:color="auto"/>
        <w:left w:val="none" w:sz="0" w:space="0" w:color="auto"/>
        <w:bottom w:val="none" w:sz="0" w:space="0" w:color="auto"/>
        <w:right w:val="none" w:sz="0" w:space="0" w:color="auto"/>
      </w:divBdr>
    </w:div>
    <w:div w:id="818348447">
      <w:bodyDiv w:val="1"/>
      <w:marLeft w:val="0"/>
      <w:marRight w:val="0"/>
      <w:marTop w:val="0"/>
      <w:marBottom w:val="0"/>
      <w:divBdr>
        <w:top w:val="none" w:sz="0" w:space="0" w:color="auto"/>
        <w:left w:val="none" w:sz="0" w:space="0" w:color="auto"/>
        <w:bottom w:val="none" w:sz="0" w:space="0" w:color="auto"/>
        <w:right w:val="none" w:sz="0" w:space="0" w:color="auto"/>
      </w:divBdr>
    </w:div>
    <w:div w:id="839123823">
      <w:bodyDiv w:val="1"/>
      <w:marLeft w:val="0"/>
      <w:marRight w:val="0"/>
      <w:marTop w:val="0"/>
      <w:marBottom w:val="0"/>
      <w:divBdr>
        <w:top w:val="none" w:sz="0" w:space="0" w:color="auto"/>
        <w:left w:val="none" w:sz="0" w:space="0" w:color="auto"/>
        <w:bottom w:val="none" w:sz="0" w:space="0" w:color="auto"/>
        <w:right w:val="none" w:sz="0" w:space="0" w:color="auto"/>
      </w:divBdr>
    </w:div>
    <w:div w:id="875852969">
      <w:bodyDiv w:val="1"/>
      <w:marLeft w:val="0"/>
      <w:marRight w:val="0"/>
      <w:marTop w:val="0"/>
      <w:marBottom w:val="0"/>
      <w:divBdr>
        <w:top w:val="none" w:sz="0" w:space="0" w:color="auto"/>
        <w:left w:val="none" w:sz="0" w:space="0" w:color="auto"/>
        <w:bottom w:val="none" w:sz="0" w:space="0" w:color="auto"/>
        <w:right w:val="none" w:sz="0" w:space="0" w:color="auto"/>
      </w:divBdr>
    </w:div>
    <w:div w:id="925920120">
      <w:bodyDiv w:val="1"/>
      <w:marLeft w:val="0"/>
      <w:marRight w:val="0"/>
      <w:marTop w:val="0"/>
      <w:marBottom w:val="0"/>
      <w:divBdr>
        <w:top w:val="none" w:sz="0" w:space="0" w:color="auto"/>
        <w:left w:val="none" w:sz="0" w:space="0" w:color="auto"/>
        <w:bottom w:val="none" w:sz="0" w:space="0" w:color="auto"/>
        <w:right w:val="none" w:sz="0" w:space="0" w:color="auto"/>
      </w:divBdr>
    </w:div>
    <w:div w:id="1046373737">
      <w:bodyDiv w:val="1"/>
      <w:marLeft w:val="0"/>
      <w:marRight w:val="0"/>
      <w:marTop w:val="0"/>
      <w:marBottom w:val="0"/>
      <w:divBdr>
        <w:top w:val="none" w:sz="0" w:space="0" w:color="auto"/>
        <w:left w:val="none" w:sz="0" w:space="0" w:color="auto"/>
        <w:bottom w:val="none" w:sz="0" w:space="0" w:color="auto"/>
        <w:right w:val="none" w:sz="0" w:space="0" w:color="auto"/>
      </w:divBdr>
    </w:div>
    <w:div w:id="1059013469">
      <w:bodyDiv w:val="1"/>
      <w:marLeft w:val="0"/>
      <w:marRight w:val="0"/>
      <w:marTop w:val="0"/>
      <w:marBottom w:val="0"/>
      <w:divBdr>
        <w:top w:val="none" w:sz="0" w:space="0" w:color="auto"/>
        <w:left w:val="none" w:sz="0" w:space="0" w:color="auto"/>
        <w:bottom w:val="none" w:sz="0" w:space="0" w:color="auto"/>
        <w:right w:val="none" w:sz="0" w:space="0" w:color="auto"/>
      </w:divBdr>
    </w:div>
    <w:div w:id="1107237441">
      <w:bodyDiv w:val="1"/>
      <w:marLeft w:val="0"/>
      <w:marRight w:val="0"/>
      <w:marTop w:val="0"/>
      <w:marBottom w:val="0"/>
      <w:divBdr>
        <w:top w:val="none" w:sz="0" w:space="0" w:color="auto"/>
        <w:left w:val="none" w:sz="0" w:space="0" w:color="auto"/>
        <w:bottom w:val="none" w:sz="0" w:space="0" w:color="auto"/>
        <w:right w:val="none" w:sz="0" w:space="0" w:color="auto"/>
      </w:divBdr>
    </w:div>
    <w:div w:id="1215049100">
      <w:bodyDiv w:val="1"/>
      <w:marLeft w:val="0"/>
      <w:marRight w:val="0"/>
      <w:marTop w:val="0"/>
      <w:marBottom w:val="0"/>
      <w:divBdr>
        <w:top w:val="none" w:sz="0" w:space="0" w:color="auto"/>
        <w:left w:val="none" w:sz="0" w:space="0" w:color="auto"/>
        <w:bottom w:val="none" w:sz="0" w:space="0" w:color="auto"/>
        <w:right w:val="none" w:sz="0" w:space="0" w:color="auto"/>
      </w:divBdr>
    </w:div>
    <w:div w:id="1236403131">
      <w:bodyDiv w:val="1"/>
      <w:marLeft w:val="0"/>
      <w:marRight w:val="0"/>
      <w:marTop w:val="0"/>
      <w:marBottom w:val="0"/>
      <w:divBdr>
        <w:top w:val="none" w:sz="0" w:space="0" w:color="auto"/>
        <w:left w:val="none" w:sz="0" w:space="0" w:color="auto"/>
        <w:bottom w:val="none" w:sz="0" w:space="0" w:color="auto"/>
        <w:right w:val="none" w:sz="0" w:space="0" w:color="auto"/>
      </w:divBdr>
    </w:div>
    <w:div w:id="1261835906">
      <w:bodyDiv w:val="1"/>
      <w:marLeft w:val="0"/>
      <w:marRight w:val="0"/>
      <w:marTop w:val="0"/>
      <w:marBottom w:val="0"/>
      <w:divBdr>
        <w:top w:val="none" w:sz="0" w:space="0" w:color="auto"/>
        <w:left w:val="none" w:sz="0" w:space="0" w:color="auto"/>
        <w:bottom w:val="none" w:sz="0" w:space="0" w:color="auto"/>
        <w:right w:val="none" w:sz="0" w:space="0" w:color="auto"/>
      </w:divBdr>
    </w:div>
    <w:div w:id="1310404998">
      <w:bodyDiv w:val="1"/>
      <w:marLeft w:val="0"/>
      <w:marRight w:val="0"/>
      <w:marTop w:val="0"/>
      <w:marBottom w:val="0"/>
      <w:divBdr>
        <w:top w:val="none" w:sz="0" w:space="0" w:color="auto"/>
        <w:left w:val="none" w:sz="0" w:space="0" w:color="auto"/>
        <w:bottom w:val="none" w:sz="0" w:space="0" w:color="auto"/>
        <w:right w:val="none" w:sz="0" w:space="0" w:color="auto"/>
      </w:divBdr>
    </w:div>
    <w:div w:id="1316714775">
      <w:bodyDiv w:val="1"/>
      <w:marLeft w:val="0"/>
      <w:marRight w:val="0"/>
      <w:marTop w:val="0"/>
      <w:marBottom w:val="0"/>
      <w:divBdr>
        <w:top w:val="none" w:sz="0" w:space="0" w:color="auto"/>
        <w:left w:val="none" w:sz="0" w:space="0" w:color="auto"/>
        <w:bottom w:val="none" w:sz="0" w:space="0" w:color="auto"/>
        <w:right w:val="none" w:sz="0" w:space="0" w:color="auto"/>
      </w:divBdr>
    </w:div>
    <w:div w:id="1543858768">
      <w:bodyDiv w:val="1"/>
      <w:marLeft w:val="0"/>
      <w:marRight w:val="0"/>
      <w:marTop w:val="0"/>
      <w:marBottom w:val="0"/>
      <w:divBdr>
        <w:top w:val="none" w:sz="0" w:space="0" w:color="auto"/>
        <w:left w:val="none" w:sz="0" w:space="0" w:color="auto"/>
        <w:bottom w:val="none" w:sz="0" w:space="0" w:color="auto"/>
        <w:right w:val="none" w:sz="0" w:space="0" w:color="auto"/>
      </w:divBdr>
    </w:div>
    <w:div w:id="1605963579">
      <w:bodyDiv w:val="1"/>
      <w:marLeft w:val="0"/>
      <w:marRight w:val="0"/>
      <w:marTop w:val="0"/>
      <w:marBottom w:val="0"/>
      <w:divBdr>
        <w:top w:val="none" w:sz="0" w:space="0" w:color="auto"/>
        <w:left w:val="none" w:sz="0" w:space="0" w:color="auto"/>
        <w:bottom w:val="none" w:sz="0" w:space="0" w:color="auto"/>
        <w:right w:val="none" w:sz="0" w:space="0" w:color="auto"/>
      </w:divBdr>
    </w:div>
    <w:div w:id="1677004012">
      <w:bodyDiv w:val="1"/>
      <w:marLeft w:val="0"/>
      <w:marRight w:val="0"/>
      <w:marTop w:val="0"/>
      <w:marBottom w:val="0"/>
      <w:divBdr>
        <w:top w:val="none" w:sz="0" w:space="0" w:color="auto"/>
        <w:left w:val="none" w:sz="0" w:space="0" w:color="auto"/>
        <w:bottom w:val="none" w:sz="0" w:space="0" w:color="auto"/>
        <w:right w:val="none" w:sz="0" w:space="0" w:color="auto"/>
      </w:divBdr>
    </w:div>
    <w:div w:id="1747603337">
      <w:bodyDiv w:val="1"/>
      <w:marLeft w:val="0"/>
      <w:marRight w:val="0"/>
      <w:marTop w:val="0"/>
      <w:marBottom w:val="0"/>
      <w:divBdr>
        <w:top w:val="none" w:sz="0" w:space="0" w:color="auto"/>
        <w:left w:val="none" w:sz="0" w:space="0" w:color="auto"/>
        <w:bottom w:val="none" w:sz="0" w:space="0" w:color="auto"/>
        <w:right w:val="none" w:sz="0" w:space="0" w:color="auto"/>
      </w:divBdr>
    </w:div>
    <w:div w:id="1748723930">
      <w:bodyDiv w:val="1"/>
      <w:marLeft w:val="0"/>
      <w:marRight w:val="0"/>
      <w:marTop w:val="0"/>
      <w:marBottom w:val="0"/>
      <w:divBdr>
        <w:top w:val="none" w:sz="0" w:space="0" w:color="auto"/>
        <w:left w:val="none" w:sz="0" w:space="0" w:color="auto"/>
        <w:bottom w:val="none" w:sz="0" w:space="0" w:color="auto"/>
        <w:right w:val="none" w:sz="0" w:space="0" w:color="auto"/>
      </w:divBdr>
    </w:div>
    <w:div w:id="1755710246">
      <w:bodyDiv w:val="1"/>
      <w:marLeft w:val="0"/>
      <w:marRight w:val="0"/>
      <w:marTop w:val="0"/>
      <w:marBottom w:val="0"/>
      <w:divBdr>
        <w:top w:val="none" w:sz="0" w:space="0" w:color="auto"/>
        <w:left w:val="none" w:sz="0" w:space="0" w:color="auto"/>
        <w:bottom w:val="none" w:sz="0" w:space="0" w:color="auto"/>
        <w:right w:val="none" w:sz="0" w:space="0" w:color="auto"/>
      </w:divBdr>
    </w:div>
    <w:div w:id="1840151411">
      <w:bodyDiv w:val="1"/>
      <w:marLeft w:val="0"/>
      <w:marRight w:val="0"/>
      <w:marTop w:val="0"/>
      <w:marBottom w:val="0"/>
      <w:divBdr>
        <w:top w:val="none" w:sz="0" w:space="0" w:color="auto"/>
        <w:left w:val="none" w:sz="0" w:space="0" w:color="auto"/>
        <w:bottom w:val="none" w:sz="0" w:space="0" w:color="auto"/>
        <w:right w:val="none" w:sz="0" w:space="0" w:color="auto"/>
      </w:divBdr>
    </w:div>
    <w:div w:id="1933124467">
      <w:bodyDiv w:val="1"/>
      <w:marLeft w:val="0"/>
      <w:marRight w:val="0"/>
      <w:marTop w:val="0"/>
      <w:marBottom w:val="0"/>
      <w:divBdr>
        <w:top w:val="none" w:sz="0" w:space="0" w:color="auto"/>
        <w:left w:val="none" w:sz="0" w:space="0" w:color="auto"/>
        <w:bottom w:val="none" w:sz="0" w:space="0" w:color="auto"/>
        <w:right w:val="none" w:sz="0" w:space="0" w:color="auto"/>
      </w:divBdr>
    </w:div>
    <w:div w:id="1948347879">
      <w:bodyDiv w:val="1"/>
      <w:marLeft w:val="0"/>
      <w:marRight w:val="0"/>
      <w:marTop w:val="0"/>
      <w:marBottom w:val="0"/>
      <w:divBdr>
        <w:top w:val="none" w:sz="0" w:space="0" w:color="auto"/>
        <w:left w:val="none" w:sz="0" w:space="0" w:color="auto"/>
        <w:bottom w:val="none" w:sz="0" w:space="0" w:color="auto"/>
        <w:right w:val="none" w:sz="0" w:space="0" w:color="auto"/>
      </w:divBdr>
    </w:div>
    <w:div w:id="1955474842">
      <w:bodyDiv w:val="1"/>
      <w:marLeft w:val="0"/>
      <w:marRight w:val="0"/>
      <w:marTop w:val="0"/>
      <w:marBottom w:val="0"/>
      <w:divBdr>
        <w:top w:val="none" w:sz="0" w:space="0" w:color="auto"/>
        <w:left w:val="none" w:sz="0" w:space="0" w:color="auto"/>
        <w:bottom w:val="none" w:sz="0" w:space="0" w:color="auto"/>
        <w:right w:val="none" w:sz="0" w:space="0" w:color="auto"/>
      </w:divBdr>
    </w:div>
    <w:div w:id="2008432962">
      <w:bodyDiv w:val="1"/>
      <w:marLeft w:val="0"/>
      <w:marRight w:val="0"/>
      <w:marTop w:val="0"/>
      <w:marBottom w:val="0"/>
      <w:divBdr>
        <w:top w:val="none" w:sz="0" w:space="0" w:color="auto"/>
        <w:left w:val="none" w:sz="0" w:space="0" w:color="auto"/>
        <w:bottom w:val="none" w:sz="0" w:space="0" w:color="auto"/>
        <w:right w:val="none" w:sz="0" w:space="0" w:color="auto"/>
      </w:divBdr>
    </w:div>
    <w:div w:id="2039499961">
      <w:bodyDiv w:val="1"/>
      <w:marLeft w:val="0"/>
      <w:marRight w:val="0"/>
      <w:marTop w:val="0"/>
      <w:marBottom w:val="0"/>
      <w:divBdr>
        <w:top w:val="none" w:sz="0" w:space="0" w:color="auto"/>
        <w:left w:val="none" w:sz="0" w:space="0" w:color="auto"/>
        <w:bottom w:val="none" w:sz="0" w:space="0" w:color="auto"/>
        <w:right w:val="none" w:sz="0" w:space="0" w:color="auto"/>
      </w:divBdr>
    </w:div>
    <w:div w:id="20700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ab.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 К Т</vt:lpstr>
    </vt:vector>
  </TitlesOfParts>
  <Company>ЦЛ</Company>
  <LinksUpToDate>false</LinksUpToDate>
  <CharactersWithSpaces>3551</CharactersWithSpaces>
  <SharedDoc>false</SharedDoc>
  <HLinks>
    <vt:vector size="6" baseType="variant">
      <vt:variant>
        <vt:i4>2555941</vt:i4>
      </vt:variant>
      <vt:variant>
        <vt:i4>0</vt:i4>
      </vt:variant>
      <vt:variant>
        <vt:i4>0</vt:i4>
      </vt:variant>
      <vt:variant>
        <vt:i4>5</vt:i4>
      </vt:variant>
      <vt:variant>
        <vt:lpwstr>http://www.clab.com.ua/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К Т</dc:title>
  <dc:subject/>
  <dc:creator>АдминОтдел</dc:creator>
  <cp:keywords/>
  <cp:lastModifiedBy>Сергій Янковський</cp:lastModifiedBy>
  <cp:revision>2</cp:revision>
  <cp:lastPrinted>2025-02-27T11:27:00Z</cp:lastPrinted>
  <dcterms:created xsi:type="dcterms:W3CDTF">2026-03-03T13:29:00Z</dcterms:created>
  <dcterms:modified xsi:type="dcterms:W3CDTF">2026-03-03T13:29:00Z</dcterms:modified>
</cp:coreProperties>
</file>