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842F" w14:textId="4480122A" w:rsidR="00D37D84" w:rsidRDefault="00D37D84"/>
    <w:p w14:paraId="0EE4C688" w14:textId="77777777" w:rsidR="00090D35" w:rsidRDefault="00090D35">
      <w:pPr>
        <w:spacing w:after="120"/>
        <w:jc w:val="right"/>
        <w:rPr>
          <w:rFonts w:ascii="Arial" w:hAnsi="Arial" w:cs="Arial"/>
          <w:sz w:val="24"/>
          <w:szCs w:val="24"/>
          <w:lang w:val="uk-UA"/>
        </w:rPr>
      </w:pPr>
    </w:p>
    <w:p w14:paraId="0AEAB819" w14:textId="0045C009" w:rsidR="00D37D84" w:rsidRDefault="00BF5CC7">
      <w:pPr>
        <w:spacing w:after="120"/>
        <w:jc w:val="right"/>
        <w:rPr>
          <w:rFonts w:cs="Arial"/>
          <w:lang w:val="uk-UA"/>
        </w:rPr>
      </w:pPr>
      <w:r>
        <w:rPr>
          <w:rFonts w:ascii="Arial" w:hAnsi="Arial" w:cs="Arial"/>
          <w:sz w:val="24"/>
          <w:szCs w:val="24"/>
          <w:lang w:val="uk-UA"/>
        </w:rPr>
        <w:t>APPROVE</w:t>
      </w:r>
    </w:p>
    <w:tbl>
      <w:tblPr>
        <w:tblW w:w="9747" w:type="dxa"/>
        <w:tblInd w:w="-108" w:type="dxa"/>
        <w:tblLayout w:type="fixed"/>
        <w:tblLook w:val="04A0" w:firstRow="1" w:lastRow="0" w:firstColumn="1" w:lastColumn="0" w:noHBand="0" w:noVBand="1"/>
      </w:tblPr>
      <w:tblGrid>
        <w:gridCol w:w="4863"/>
        <w:gridCol w:w="4884"/>
      </w:tblGrid>
      <w:tr w:rsidR="00D37D84" w:rsidRPr="001169B6" w14:paraId="032B7425" w14:textId="77777777" w:rsidTr="001169B6">
        <w:tc>
          <w:tcPr>
            <w:tcW w:w="4863" w:type="dxa"/>
          </w:tcPr>
          <w:p w14:paraId="69A55352" w14:textId="77777777" w:rsidR="00D37D84" w:rsidRPr="001169B6" w:rsidRDefault="00D37D84">
            <w:pPr>
              <w:snapToGrid w:val="0"/>
              <w:spacing w:after="120"/>
              <w:rPr>
                <w:rFonts w:ascii="Arial" w:hAnsi="Arial" w:cs="Arial"/>
                <w:sz w:val="24"/>
                <w:szCs w:val="24"/>
                <w:lang w:val="en-US"/>
              </w:rPr>
            </w:pPr>
          </w:p>
        </w:tc>
        <w:tc>
          <w:tcPr>
            <w:tcW w:w="4884" w:type="dxa"/>
          </w:tcPr>
          <w:p w14:paraId="067A727E" w14:textId="77777777" w:rsidR="00D37D84" w:rsidRPr="001169B6" w:rsidRDefault="00BF5CC7">
            <w:pPr>
              <w:jc w:val="right"/>
              <w:rPr>
                <w:rFonts w:ascii="Arial" w:hAnsi="Arial" w:cs="Arial"/>
                <w:sz w:val="22"/>
                <w:szCs w:val="22"/>
                <w:lang w:val="en-US"/>
              </w:rPr>
            </w:pPr>
            <w:r w:rsidRPr="001169B6">
              <w:rPr>
                <w:rFonts w:ascii="Arial" w:hAnsi="Arial" w:cs="Arial"/>
                <w:sz w:val="22"/>
                <w:szCs w:val="22"/>
                <w:lang w:val="en-US"/>
              </w:rPr>
              <w:t>Director</w:t>
            </w:r>
          </w:p>
          <w:p w14:paraId="22870F5C" w14:textId="685099D3" w:rsidR="00D37D84" w:rsidRPr="001169B6" w:rsidRDefault="00BF5CC7">
            <w:pPr>
              <w:ind w:left="102" w:right="1" w:hanging="102"/>
              <w:jc w:val="right"/>
              <w:rPr>
                <w:rFonts w:ascii="Arial" w:hAnsi="Arial" w:cs="Arial"/>
                <w:sz w:val="22"/>
                <w:szCs w:val="22"/>
                <w:lang w:val="en-US"/>
              </w:rPr>
            </w:pPr>
            <w:r w:rsidRPr="001169B6">
              <w:rPr>
                <w:rFonts w:ascii="Arial" w:hAnsi="Arial" w:cs="Arial"/>
                <w:sz w:val="22"/>
                <w:szCs w:val="22"/>
                <w:lang w:val="en-US"/>
              </w:rPr>
              <w:t>SE "Central Laboratory</w:t>
            </w:r>
            <w:r w:rsidR="001169B6" w:rsidRPr="001169B6">
              <w:rPr>
                <w:rFonts w:ascii="Arial" w:hAnsi="Arial" w:cs="Arial"/>
                <w:sz w:val="22"/>
                <w:szCs w:val="22"/>
                <w:lang w:val="en-US"/>
              </w:rPr>
              <w:t xml:space="preserve"> </w:t>
            </w:r>
          </w:p>
          <w:p w14:paraId="3265101E" w14:textId="7270B755" w:rsidR="00D37D84" w:rsidRPr="001169B6" w:rsidRDefault="001169B6">
            <w:pPr>
              <w:ind w:left="102" w:right="1" w:hanging="102"/>
              <w:jc w:val="right"/>
              <w:rPr>
                <w:rFonts w:ascii="Arial" w:hAnsi="Arial" w:cs="Arial"/>
                <w:sz w:val="22"/>
                <w:szCs w:val="22"/>
                <w:lang w:val="en-US"/>
              </w:rPr>
            </w:pPr>
            <w:r w:rsidRPr="001169B6">
              <w:rPr>
                <w:rFonts w:ascii="Arial" w:hAnsi="Arial" w:cs="Arial"/>
                <w:sz w:val="22"/>
                <w:szCs w:val="22"/>
                <w:lang w:val="en-US"/>
              </w:rPr>
              <w:t xml:space="preserve"> </w:t>
            </w:r>
            <w:r w:rsidR="00BF5CC7" w:rsidRPr="001169B6">
              <w:rPr>
                <w:rFonts w:ascii="Arial" w:hAnsi="Arial" w:cs="Arial"/>
                <w:sz w:val="22"/>
                <w:szCs w:val="22"/>
                <w:lang w:val="en-US"/>
              </w:rPr>
              <w:t xml:space="preserve"> </w:t>
            </w:r>
            <w:r w:rsidRPr="001169B6">
              <w:rPr>
                <w:rFonts w:ascii="Arial" w:hAnsi="Arial" w:cs="Arial"/>
                <w:sz w:val="22"/>
                <w:szCs w:val="22"/>
                <w:lang w:val="en-US"/>
              </w:rPr>
              <w:t>for</w:t>
            </w:r>
            <w:r w:rsidR="00BF5CC7" w:rsidRPr="001169B6">
              <w:rPr>
                <w:rFonts w:ascii="Arial" w:hAnsi="Arial" w:cs="Arial"/>
                <w:sz w:val="22"/>
                <w:szCs w:val="22"/>
                <w:lang w:val="en-US"/>
              </w:rPr>
              <w:t xml:space="preserve"> </w:t>
            </w:r>
            <w:r w:rsidRPr="001169B6">
              <w:rPr>
                <w:rFonts w:ascii="Arial" w:hAnsi="Arial" w:cs="Arial"/>
                <w:sz w:val="22"/>
                <w:szCs w:val="22"/>
                <w:lang w:val="en-US"/>
              </w:rPr>
              <w:t>Q</w:t>
            </w:r>
            <w:r w:rsidR="00BF5CC7" w:rsidRPr="001169B6">
              <w:rPr>
                <w:rFonts w:ascii="Arial" w:hAnsi="Arial" w:cs="Arial"/>
                <w:sz w:val="22"/>
                <w:szCs w:val="22"/>
                <w:lang w:val="en-US"/>
              </w:rPr>
              <w:t xml:space="preserve">uality </w:t>
            </w:r>
            <w:r w:rsidRPr="001169B6">
              <w:rPr>
                <w:rFonts w:ascii="Arial" w:hAnsi="Arial" w:cs="Arial"/>
                <w:sz w:val="22"/>
                <w:szCs w:val="22"/>
                <w:lang w:val="en-US"/>
              </w:rPr>
              <w:t>Control of M</w:t>
            </w:r>
            <w:r w:rsidR="00BF5CC7" w:rsidRPr="001169B6">
              <w:rPr>
                <w:rFonts w:ascii="Arial" w:hAnsi="Arial" w:cs="Arial"/>
                <w:sz w:val="22"/>
                <w:szCs w:val="22"/>
                <w:lang w:val="en-US"/>
              </w:rPr>
              <w:t>edicines</w:t>
            </w:r>
          </w:p>
          <w:p w14:paraId="6A28249D" w14:textId="29DFCE1E" w:rsidR="00D37D84" w:rsidRPr="001169B6" w:rsidRDefault="001169B6">
            <w:pPr>
              <w:ind w:left="102" w:right="1" w:hanging="102"/>
              <w:jc w:val="right"/>
              <w:rPr>
                <w:lang w:val="en-US"/>
              </w:rPr>
            </w:pPr>
            <w:r w:rsidRPr="001169B6">
              <w:rPr>
                <w:rFonts w:ascii="Arial" w:hAnsi="Arial" w:cs="Arial"/>
                <w:sz w:val="22"/>
                <w:szCs w:val="22"/>
                <w:lang w:val="en-US"/>
              </w:rPr>
              <w:t>and M</w:t>
            </w:r>
            <w:r w:rsidR="00BF5CC7" w:rsidRPr="001169B6">
              <w:rPr>
                <w:rFonts w:ascii="Arial" w:hAnsi="Arial" w:cs="Arial"/>
                <w:sz w:val="22"/>
                <w:szCs w:val="22"/>
                <w:lang w:val="en-US"/>
              </w:rPr>
              <w:t xml:space="preserve">edical </w:t>
            </w:r>
            <w:r w:rsidRPr="001169B6">
              <w:rPr>
                <w:rFonts w:ascii="Arial" w:hAnsi="Arial" w:cs="Arial"/>
                <w:sz w:val="22"/>
                <w:szCs w:val="22"/>
                <w:lang w:val="en-US"/>
              </w:rPr>
              <w:t>P</w:t>
            </w:r>
            <w:r w:rsidR="00BF5CC7" w:rsidRPr="001169B6">
              <w:rPr>
                <w:rFonts w:ascii="Arial" w:hAnsi="Arial" w:cs="Arial"/>
                <w:sz w:val="22"/>
                <w:szCs w:val="22"/>
                <w:lang w:val="en-US"/>
              </w:rPr>
              <w:t>roducts"</w:t>
            </w:r>
          </w:p>
          <w:p w14:paraId="3A525248" w14:textId="4CAEE329" w:rsidR="00D37D84" w:rsidRPr="001169B6" w:rsidRDefault="00D37D84">
            <w:pPr>
              <w:ind w:left="102" w:right="1" w:hanging="102"/>
              <w:jc w:val="right"/>
              <w:rPr>
                <w:rFonts w:ascii="Arial" w:hAnsi="Arial" w:cs="Arial"/>
                <w:sz w:val="22"/>
                <w:szCs w:val="22"/>
                <w:lang w:val="en-US"/>
              </w:rPr>
            </w:pPr>
          </w:p>
        </w:tc>
      </w:tr>
    </w:tbl>
    <w:p w14:paraId="2F4F0B48" w14:textId="77777777" w:rsidR="00090D35" w:rsidRPr="001169B6" w:rsidRDefault="00090D35">
      <w:pPr>
        <w:tabs>
          <w:tab w:val="left" w:pos="-567"/>
          <w:tab w:val="left" w:pos="450"/>
        </w:tabs>
        <w:spacing w:after="120"/>
        <w:ind w:left="-567" w:firstLine="709"/>
        <w:jc w:val="both"/>
        <w:rPr>
          <w:rFonts w:ascii="Arial" w:hAnsi="Arial" w:cs="Arial"/>
          <w:lang w:val="en-US"/>
        </w:rPr>
      </w:pPr>
    </w:p>
    <w:p w14:paraId="41F21820" w14:textId="42FD5246" w:rsidR="00D37D84" w:rsidRPr="00090D35" w:rsidRDefault="001169B6" w:rsidP="001169B6">
      <w:pPr>
        <w:tabs>
          <w:tab w:val="left" w:pos="0"/>
          <w:tab w:val="left" w:pos="426"/>
          <w:tab w:val="left" w:pos="567"/>
          <w:tab w:val="left" w:pos="990"/>
        </w:tabs>
        <w:spacing w:after="120"/>
        <w:jc w:val="center"/>
        <w:rPr>
          <w:rFonts w:ascii="Arial" w:hAnsi="Arial" w:cs="Arial"/>
          <w:b/>
          <w:bCs/>
          <w:sz w:val="24"/>
          <w:szCs w:val="24"/>
          <w:lang w:val="en-US"/>
        </w:rPr>
      </w:pPr>
      <w:r w:rsidRPr="00090D35">
        <w:rPr>
          <w:rFonts w:ascii="Arial" w:hAnsi="Arial" w:cs="Arial"/>
          <w:b/>
          <w:bCs/>
          <w:sz w:val="24"/>
          <w:szCs w:val="24"/>
          <w:lang w:val="en-US"/>
        </w:rPr>
        <w:t>D</w:t>
      </w:r>
      <w:r w:rsidR="00BF5CC7" w:rsidRPr="00090D35">
        <w:rPr>
          <w:rFonts w:ascii="Arial" w:hAnsi="Arial" w:cs="Arial"/>
          <w:b/>
          <w:bCs/>
          <w:sz w:val="24"/>
          <w:szCs w:val="24"/>
          <w:lang w:val="en-US"/>
        </w:rPr>
        <w:t>ecision rule</w:t>
      </w:r>
      <w:r w:rsidRPr="00090D35">
        <w:rPr>
          <w:rFonts w:ascii="Arial" w:hAnsi="Arial" w:cs="Arial"/>
          <w:b/>
          <w:bCs/>
          <w:sz w:val="24"/>
          <w:szCs w:val="24"/>
          <w:lang w:val="en-US"/>
        </w:rPr>
        <w:t xml:space="preserve"> and statement of conformity</w:t>
      </w:r>
    </w:p>
    <w:p w14:paraId="7F946135" w14:textId="293FC57A" w:rsidR="00D37D84" w:rsidRPr="00090D35" w:rsidRDefault="00BF5CC7">
      <w:pPr>
        <w:tabs>
          <w:tab w:val="left" w:pos="0"/>
          <w:tab w:val="left" w:pos="990"/>
        </w:tabs>
        <w:spacing w:after="120"/>
        <w:ind w:left="-567"/>
        <w:jc w:val="both"/>
        <w:rPr>
          <w:rFonts w:ascii="Arial" w:hAnsi="Arial" w:cs="Arial"/>
          <w:sz w:val="24"/>
          <w:szCs w:val="24"/>
          <w:lang w:val="en-US"/>
        </w:rPr>
      </w:pPr>
      <w:r w:rsidRPr="001169B6">
        <w:rPr>
          <w:rFonts w:ascii="Arial" w:hAnsi="Arial" w:cs="Arial"/>
          <w:sz w:val="22"/>
          <w:szCs w:val="22"/>
          <w:lang w:val="en-US"/>
        </w:rPr>
        <w:tab/>
      </w:r>
      <w:r w:rsidRPr="00090D35">
        <w:rPr>
          <w:rFonts w:ascii="Arial" w:hAnsi="Arial" w:cs="Arial"/>
          <w:sz w:val="24"/>
          <w:szCs w:val="24"/>
          <w:lang w:val="en-US"/>
        </w:rPr>
        <w:t xml:space="preserve">The selection of the decision rule </w:t>
      </w:r>
      <w:r w:rsidR="001169B6" w:rsidRPr="00090D35">
        <w:rPr>
          <w:rFonts w:ascii="Arial" w:hAnsi="Arial" w:cs="Arial"/>
          <w:sz w:val="24"/>
          <w:szCs w:val="24"/>
          <w:lang w:val="en-US"/>
        </w:rPr>
        <w:t xml:space="preserve">for statement of conformity </w:t>
      </w:r>
      <w:r w:rsidRPr="00090D35">
        <w:rPr>
          <w:rFonts w:ascii="Arial" w:hAnsi="Arial" w:cs="Arial"/>
          <w:sz w:val="24"/>
          <w:szCs w:val="24"/>
          <w:lang w:val="en-US"/>
        </w:rPr>
        <w:t>(hereinafter: decision rule) occurs before the test is carried out during the analysis of the order and coordination with the customer. The selection algorithm is based on the decision rule flowchart (</w:t>
      </w:r>
      <w:r w:rsidRPr="00090D35">
        <w:rPr>
          <w:rFonts w:ascii="Arial" w:hAnsi="Arial" w:cs="Arial"/>
          <w:color w:val="000000"/>
          <w:sz w:val="24"/>
          <w:szCs w:val="24"/>
          <w:lang w:val="en-US"/>
        </w:rPr>
        <w:t xml:space="preserve">ILAC-G8:09/2019 “Guidance on Decision Rules and </w:t>
      </w:r>
      <w:r w:rsidR="001169B6" w:rsidRPr="00090D35">
        <w:rPr>
          <w:rFonts w:ascii="Arial" w:hAnsi="Arial" w:cs="Arial"/>
          <w:color w:val="000000"/>
          <w:sz w:val="24"/>
          <w:szCs w:val="24"/>
          <w:lang w:val="en-US"/>
        </w:rPr>
        <w:t xml:space="preserve">Statement of </w:t>
      </w:r>
      <w:r w:rsidRPr="00090D35">
        <w:rPr>
          <w:rFonts w:ascii="Arial" w:hAnsi="Arial" w:cs="Arial"/>
          <w:color w:val="000000"/>
          <w:sz w:val="24"/>
          <w:szCs w:val="24"/>
          <w:lang w:val="en-US"/>
        </w:rPr>
        <w:t xml:space="preserve">Conformity”, </w:t>
      </w:r>
      <w:r w:rsidR="00482671" w:rsidRPr="00090D35">
        <w:rPr>
          <w:rFonts w:ascii="Arial" w:hAnsi="Arial" w:cs="Arial"/>
          <w:color w:val="000000"/>
          <w:sz w:val="24"/>
          <w:szCs w:val="24"/>
          <w:lang w:val="en-US"/>
        </w:rPr>
        <w:t>ch</w:t>
      </w:r>
      <w:r w:rsidRPr="00090D35">
        <w:rPr>
          <w:rFonts w:ascii="Arial" w:hAnsi="Arial" w:cs="Arial"/>
          <w:color w:val="000000"/>
          <w:sz w:val="24"/>
          <w:szCs w:val="24"/>
          <w:lang w:val="en-US"/>
        </w:rPr>
        <w:t>.6</w:t>
      </w:r>
      <w:r w:rsidRPr="00090D35">
        <w:rPr>
          <w:rFonts w:ascii="Arial" w:hAnsi="Arial" w:cs="Arial"/>
          <w:sz w:val="24"/>
          <w:szCs w:val="24"/>
          <w:lang w:val="en-US"/>
        </w:rPr>
        <w:t>) and consists of the following.</w:t>
      </w:r>
    </w:p>
    <w:p w14:paraId="7A62296F" w14:textId="1114FA49" w:rsidR="00D37D84" w:rsidRPr="00090D35" w:rsidRDefault="00BF5CC7">
      <w:pPr>
        <w:tabs>
          <w:tab w:val="left" w:pos="0"/>
          <w:tab w:val="left" w:pos="990"/>
        </w:tabs>
        <w:spacing w:after="120"/>
        <w:ind w:left="-567"/>
        <w:jc w:val="both"/>
        <w:rPr>
          <w:sz w:val="24"/>
          <w:szCs w:val="24"/>
          <w:lang w:val="en-US"/>
        </w:rPr>
      </w:pPr>
      <w:r w:rsidRPr="00090D35">
        <w:rPr>
          <w:rFonts w:ascii="Arial" w:hAnsi="Arial" w:cs="Arial"/>
          <w:sz w:val="24"/>
          <w:szCs w:val="24"/>
          <w:u w:val="single"/>
          <w:lang w:val="en-US"/>
        </w:rPr>
        <w:t>Case 1</w:t>
      </w:r>
      <w:r w:rsidRPr="00090D35">
        <w:rPr>
          <w:rFonts w:ascii="Arial" w:hAnsi="Arial" w:cs="Arial"/>
          <w:sz w:val="24"/>
          <w:szCs w:val="24"/>
          <w:lang w:val="en-US"/>
        </w:rPr>
        <w:t xml:space="preserve">: the customer does not need a conclusion of conformity - in this case, the Laboratory </w:t>
      </w:r>
      <w:r w:rsidR="00482671" w:rsidRPr="00090D35">
        <w:rPr>
          <w:rFonts w:ascii="Arial" w:hAnsi="Arial" w:cs="Arial"/>
          <w:sz w:val="24"/>
          <w:szCs w:val="24"/>
          <w:lang w:val="en-US"/>
        </w:rPr>
        <w:t>prepares</w:t>
      </w:r>
      <w:r w:rsidRPr="00090D35">
        <w:rPr>
          <w:rFonts w:ascii="Arial" w:hAnsi="Arial" w:cs="Arial"/>
          <w:sz w:val="24"/>
          <w:szCs w:val="24"/>
          <w:lang w:val="en-US"/>
        </w:rPr>
        <w:t xml:space="preserve"> a certificate of analysis or a test report, which indicates the obtained measurement result and uncertainty</w:t>
      </w:r>
      <w:r w:rsidR="00482671" w:rsidRPr="00090D35">
        <w:rPr>
          <w:rFonts w:ascii="Arial" w:hAnsi="Arial" w:cs="Arial"/>
          <w:sz w:val="24"/>
          <w:szCs w:val="24"/>
          <w:lang w:val="en-US"/>
        </w:rPr>
        <w:t xml:space="preserve"> of measurement</w:t>
      </w:r>
      <w:r w:rsidRPr="00090D35">
        <w:rPr>
          <w:rFonts w:ascii="Arial" w:hAnsi="Arial" w:cs="Arial"/>
          <w:sz w:val="24"/>
          <w:szCs w:val="24"/>
          <w:lang w:val="en-US"/>
        </w:rPr>
        <w:t>.</w:t>
      </w:r>
    </w:p>
    <w:p w14:paraId="22DC78D8" w14:textId="77777777" w:rsidR="00D37D84" w:rsidRPr="00090D35" w:rsidRDefault="00BF5CC7">
      <w:pPr>
        <w:tabs>
          <w:tab w:val="left" w:pos="0"/>
          <w:tab w:val="left" w:pos="990"/>
        </w:tabs>
        <w:spacing w:after="120"/>
        <w:ind w:left="-567"/>
        <w:jc w:val="both"/>
        <w:rPr>
          <w:rFonts w:ascii="Arial" w:hAnsi="Arial" w:cs="Arial"/>
          <w:sz w:val="24"/>
          <w:szCs w:val="24"/>
          <w:lang w:val="en-US"/>
        </w:rPr>
      </w:pPr>
      <w:r w:rsidRPr="00090D35">
        <w:rPr>
          <w:rFonts w:ascii="Arial" w:hAnsi="Arial" w:cs="Arial"/>
          <w:sz w:val="24"/>
          <w:szCs w:val="24"/>
          <w:u w:val="single"/>
          <w:lang w:val="en-US"/>
        </w:rPr>
        <w:t>Case 2</w:t>
      </w:r>
      <w:r w:rsidRPr="00090D35">
        <w:rPr>
          <w:rFonts w:ascii="Arial" w:hAnsi="Arial" w:cs="Arial"/>
          <w:sz w:val="24"/>
          <w:szCs w:val="24"/>
          <w:lang w:val="en-US"/>
        </w:rPr>
        <w:t>: the customer needs to indicate a conclusion of conformity and certain legislative or regulatory rules apply to the test objects.</w:t>
      </w:r>
    </w:p>
    <w:p w14:paraId="7F14B122" w14:textId="36C32EEE" w:rsidR="00D37D84" w:rsidRPr="00090D35" w:rsidRDefault="00BF5CC7">
      <w:pPr>
        <w:tabs>
          <w:tab w:val="left" w:pos="0"/>
          <w:tab w:val="left" w:pos="990"/>
        </w:tabs>
        <w:spacing w:after="120"/>
        <w:ind w:left="-567"/>
        <w:jc w:val="both"/>
        <w:rPr>
          <w:rFonts w:ascii="Arial" w:hAnsi="Arial" w:cs="Arial"/>
          <w:b/>
          <w:bCs/>
          <w:i/>
          <w:sz w:val="24"/>
          <w:szCs w:val="24"/>
          <w:lang w:val="en-US"/>
        </w:rPr>
      </w:pPr>
      <w:r w:rsidRPr="00090D35">
        <w:rPr>
          <w:rFonts w:ascii="Arial" w:hAnsi="Arial" w:cs="Arial"/>
          <w:sz w:val="24"/>
          <w:szCs w:val="24"/>
          <w:lang w:val="en-US"/>
        </w:rPr>
        <w:t xml:space="preserve">This case includes, first of all, the testing of medicinal products, which are subject to the general rule of establishing tolerance limits in the specifications of </w:t>
      </w:r>
      <w:r w:rsidR="00090D35" w:rsidRPr="00090D35">
        <w:rPr>
          <w:rFonts w:ascii="Arial" w:hAnsi="Arial" w:cs="Arial"/>
          <w:sz w:val="24"/>
          <w:szCs w:val="24"/>
          <w:lang w:val="en-US"/>
        </w:rPr>
        <w:t>pharmacopeial</w:t>
      </w:r>
      <w:r w:rsidRPr="00090D35">
        <w:rPr>
          <w:rFonts w:ascii="Arial" w:hAnsi="Arial" w:cs="Arial"/>
          <w:sz w:val="24"/>
          <w:szCs w:val="24"/>
          <w:lang w:val="en-US"/>
        </w:rPr>
        <w:t xml:space="preserve"> monographs and, accordingly, in all other regulatory documentation regarding the quality assurance and control of medicinal products. According to the information specified in the European Pharmacopoeia (Ph.Eur., General Notice, Test and Assays, Limits), and, accordingly, the State Pharmacopoeia</w:t>
      </w:r>
      <w:r w:rsidR="00482671" w:rsidRPr="00090D35">
        <w:rPr>
          <w:rFonts w:ascii="Arial" w:hAnsi="Arial" w:cs="Arial"/>
          <w:sz w:val="24"/>
          <w:szCs w:val="24"/>
          <w:lang w:val="en-US"/>
        </w:rPr>
        <w:t xml:space="preserve"> of Ukraine</w:t>
      </w:r>
      <w:r w:rsidRPr="00090D35">
        <w:rPr>
          <w:rFonts w:ascii="Arial" w:hAnsi="Arial" w:cs="Arial"/>
          <w:sz w:val="24"/>
          <w:szCs w:val="24"/>
          <w:lang w:val="en-US"/>
        </w:rPr>
        <w:t xml:space="preserve"> (1.4 MONOGRAPHS, Tests and Quantitation, Limits), it is indicated that “</w:t>
      </w:r>
      <w:r w:rsidR="00482671" w:rsidRPr="00090D35">
        <w:rPr>
          <w:rFonts w:ascii="Arial" w:hAnsi="Arial" w:cs="Arial"/>
          <w:sz w:val="24"/>
          <w:szCs w:val="24"/>
          <w:lang w:val="en-US"/>
        </w:rPr>
        <w:t>The prescribed limits are based on data obtained in routine analytical practice and are intended to demonstrate that the article being examined complies with the requirements of the monograph. They take account of normal analytical errors, of acceptable variations in manufacture/preparation and of deterioration to an extent considered acceptable. No further tolerances are to be applied to the prescribed limits</w:t>
      </w:r>
      <w:r w:rsidRPr="00090D35">
        <w:rPr>
          <w:rFonts w:ascii="Arial" w:hAnsi="Arial" w:cs="Arial"/>
          <w:sz w:val="24"/>
          <w:szCs w:val="24"/>
          <w:lang w:val="en-US"/>
        </w:rPr>
        <w:t>.”</w:t>
      </w:r>
    </w:p>
    <w:p w14:paraId="57DC6E2B" w14:textId="707B894D" w:rsidR="00D37D84" w:rsidRPr="00090D35" w:rsidRDefault="00BF5CC7">
      <w:pPr>
        <w:tabs>
          <w:tab w:val="left" w:pos="0"/>
          <w:tab w:val="left" w:pos="990"/>
        </w:tabs>
        <w:spacing w:after="120"/>
        <w:ind w:left="-567"/>
        <w:jc w:val="both"/>
        <w:rPr>
          <w:rFonts w:ascii="Arial" w:hAnsi="Arial" w:cs="Arial"/>
          <w:sz w:val="24"/>
          <w:szCs w:val="24"/>
          <w:lang w:val="en-US"/>
        </w:rPr>
      </w:pPr>
      <w:r w:rsidRPr="00090D35">
        <w:rPr>
          <w:rFonts w:ascii="Arial" w:hAnsi="Arial" w:cs="Arial"/>
          <w:sz w:val="24"/>
          <w:szCs w:val="24"/>
          <w:lang w:val="en-US"/>
        </w:rPr>
        <w:t xml:space="preserve">Thus, </w:t>
      </w:r>
      <w:r w:rsidR="00482671" w:rsidRPr="00090D35">
        <w:rPr>
          <w:rFonts w:ascii="Arial" w:hAnsi="Arial" w:cs="Arial"/>
          <w:sz w:val="24"/>
          <w:szCs w:val="24"/>
          <w:lang w:val="en-US"/>
        </w:rPr>
        <w:t>for</w:t>
      </w:r>
      <w:r w:rsidRPr="00090D35">
        <w:rPr>
          <w:rFonts w:ascii="Arial" w:hAnsi="Arial" w:cs="Arial"/>
          <w:sz w:val="24"/>
          <w:szCs w:val="24"/>
          <w:lang w:val="en-US"/>
        </w:rPr>
        <w:t xml:space="preserve"> testing medicinal products, the Laboratory applies the generally accepted </w:t>
      </w:r>
      <w:r w:rsidR="00090D35" w:rsidRPr="00090D35">
        <w:rPr>
          <w:rFonts w:ascii="Arial" w:hAnsi="Arial" w:cs="Arial"/>
          <w:sz w:val="24"/>
          <w:szCs w:val="24"/>
          <w:lang w:val="en-US"/>
        </w:rPr>
        <w:t>pharmacopeial</w:t>
      </w:r>
      <w:r w:rsidRPr="00090D35">
        <w:rPr>
          <w:rFonts w:ascii="Arial" w:hAnsi="Arial" w:cs="Arial"/>
          <w:sz w:val="24"/>
          <w:szCs w:val="24"/>
          <w:lang w:val="en-US"/>
        </w:rPr>
        <w:t xml:space="preserve"> rule of </w:t>
      </w:r>
      <w:r w:rsidR="00090D35" w:rsidRPr="00090D35">
        <w:rPr>
          <w:rFonts w:ascii="Arial" w:hAnsi="Arial" w:cs="Arial"/>
          <w:sz w:val="24"/>
          <w:szCs w:val="24"/>
          <w:lang w:val="en-US"/>
        </w:rPr>
        <w:t>binary</w:t>
      </w:r>
      <w:r w:rsidRPr="00090D35">
        <w:rPr>
          <w:rFonts w:ascii="Arial" w:hAnsi="Arial" w:cs="Arial"/>
          <w:sz w:val="24"/>
          <w:szCs w:val="24"/>
          <w:lang w:val="en-US"/>
        </w:rPr>
        <w:t xml:space="preserve"> decision (meets or fails) when no </w:t>
      </w:r>
      <w:r w:rsidR="00090D35" w:rsidRPr="00090D35">
        <w:rPr>
          <w:rFonts w:ascii="Arial" w:hAnsi="Arial" w:cs="Arial"/>
          <w:sz w:val="24"/>
          <w:szCs w:val="24"/>
          <w:lang w:val="en-US"/>
        </w:rPr>
        <w:t>guard bands</w:t>
      </w:r>
      <w:r w:rsidRPr="00090D35">
        <w:rPr>
          <w:rFonts w:ascii="Arial" w:hAnsi="Arial" w:cs="Arial"/>
          <w:sz w:val="24"/>
          <w:szCs w:val="24"/>
          <w:lang w:val="en-US"/>
        </w:rPr>
        <w:t xml:space="preserve"> apply to the established tolerance limits.</w:t>
      </w:r>
    </w:p>
    <w:p w14:paraId="3E7B5B89" w14:textId="0FC3253E" w:rsidR="00D37D84" w:rsidRPr="00090D35" w:rsidRDefault="00BF5CC7">
      <w:pPr>
        <w:tabs>
          <w:tab w:val="left" w:pos="0"/>
          <w:tab w:val="left" w:pos="990"/>
        </w:tabs>
        <w:spacing w:after="120"/>
        <w:ind w:left="-567"/>
        <w:jc w:val="both"/>
        <w:rPr>
          <w:sz w:val="24"/>
          <w:szCs w:val="24"/>
          <w:lang w:val="en-US"/>
        </w:rPr>
      </w:pPr>
      <w:r w:rsidRPr="00090D35">
        <w:rPr>
          <w:rFonts w:ascii="Arial" w:hAnsi="Arial" w:cs="Arial"/>
          <w:sz w:val="24"/>
          <w:szCs w:val="24"/>
          <w:lang w:val="en-US"/>
        </w:rPr>
        <w:t>In this case, if the test result falls within the limits of the specification/normative documentation according to which the test was conducted, then it “meets the requirements”; if the result exceeds the established tolerance limits, then it “does not meet the requirements”.</w:t>
      </w:r>
    </w:p>
    <w:p w14:paraId="1D737089" w14:textId="77777777" w:rsidR="00D37D84" w:rsidRPr="00090D35" w:rsidRDefault="00BF5CC7">
      <w:pPr>
        <w:tabs>
          <w:tab w:val="left" w:pos="0"/>
          <w:tab w:val="left" w:pos="990"/>
        </w:tabs>
        <w:spacing w:after="120"/>
        <w:ind w:left="-567"/>
        <w:jc w:val="both"/>
        <w:rPr>
          <w:rFonts w:ascii="Arial" w:hAnsi="Arial" w:cs="Arial"/>
          <w:sz w:val="24"/>
          <w:szCs w:val="24"/>
          <w:lang w:val="en-US"/>
        </w:rPr>
      </w:pPr>
      <w:r w:rsidRPr="00090D35">
        <w:rPr>
          <w:rFonts w:ascii="Arial" w:hAnsi="Arial" w:cs="Arial"/>
          <w:sz w:val="24"/>
          <w:szCs w:val="24"/>
          <w:u w:val="single"/>
          <w:lang w:val="en-US"/>
        </w:rPr>
        <w:t>Case 3</w:t>
      </w:r>
      <w:r w:rsidRPr="00090D35">
        <w:rPr>
          <w:rFonts w:ascii="Arial" w:hAnsi="Arial" w:cs="Arial"/>
          <w:sz w:val="24"/>
          <w:szCs w:val="24"/>
          <w:lang w:val="en-US"/>
        </w:rPr>
        <w:t>: the customer needs to indicate a conclusion of conformity and standards that contain a conformity decision process are applied to the test objects. In this case, the Laboratory applies the decision process specified in these standards.</w:t>
      </w:r>
    </w:p>
    <w:p w14:paraId="70B10278" w14:textId="77777777" w:rsidR="00D37D84" w:rsidRPr="00090D35" w:rsidRDefault="00BF5CC7">
      <w:pPr>
        <w:tabs>
          <w:tab w:val="left" w:pos="0"/>
          <w:tab w:val="left" w:pos="990"/>
        </w:tabs>
        <w:spacing w:after="120"/>
        <w:ind w:left="-567"/>
        <w:jc w:val="both"/>
        <w:rPr>
          <w:rFonts w:ascii="Arial" w:hAnsi="Arial" w:cs="Arial"/>
          <w:sz w:val="24"/>
          <w:szCs w:val="24"/>
          <w:lang w:val="en-US"/>
        </w:rPr>
      </w:pPr>
      <w:r w:rsidRPr="00090D35">
        <w:rPr>
          <w:rFonts w:ascii="Arial" w:hAnsi="Arial" w:cs="Arial"/>
          <w:sz w:val="24"/>
          <w:szCs w:val="24"/>
          <w:u w:val="single"/>
          <w:lang w:val="en-US"/>
        </w:rPr>
        <w:t>Case 4</w:t>
      </w:r>
      <w:r w:rsidRPr="00090D35">
        <w:rPr>
          <w:rFonts w:ascii="Arial" w:hAnsi="Arial" w:cs="Arial"/>
          <w:sz w:val="24"/>
          <w:szCs w:val="24"/>
          <w:lang w:val="en-US"/>
        </w:rPr>
        <w:t>: the customer needs to indicate a conclusion of conformity, but for test objects, the standards do not contain information about the decision-making process, nor are there any legislative or regulatory rules regarding this rule.</w:t>
      </w:r>
    </w:p>
    <w:p w14:paraId="51B8B977" w14:textId="77777777" w:rsidR="00D37D84" w:rsidRPr="00090D35" w:rsidRDefault="00BF5CC7">
      <w:pPr>
        <w:tabs>
          <w:tab w:val="left" w:pos="0"/>
          <w:tab w:val="left" w:pos="1620"/>
        </w:tabs>
        <w:ind w:left="-567"/>
        <w:rPr>
          <w:rFonts w:ascii="Arial" w:hAnsi="Arial" w:cs="Arial"/>
          <w:sz w:val="24"/>
          <w:szCs w:val="24"/>
          <w:lang w:val="en-US"/>
        </w:rPr>
      </w:pPr>
      <w:r w:rsidRPr="00090D35">
        <w:rPr>
          <w:rFonts w:ascii="Arial" w:hAnsi="Arial" w:cs="Arial"/>
          <w:sz w:val="24"/>
          <w:szCs w:val="24"/>
          <w:lang w:val="en-US"/>
        </w:rPr>
        <w:t>In this case, two options are possible:</w:t>
      </w:r>
    </w:p>
    <w:p w14:paraId="36AFFE72" w14:textId="77777777" w:rsidR="00D37D84" w:rsidRPr="00090D35" w:rsidRDefault="00BF5CC7">
      <w:pPr>
        <w:tabs>
          <w:tab w:val="left" w:pos="-567"/>
        </w:tabs>
        <w:ind w:left="-567"/>
        <w:jc w:val="both"/>
        <w:rPr>
          <w:rFonts w:ascii="Arial" w:hAnsi="Arial" w:cs="Arial"/>
          <w:sz w:val="24"/>
          <w:szCs w:val="24"/>
          <w:lang w:val="en-US"/>
        </w:rPr>
      </w:pPr>
      <w:bookmarkStart w:id="0" w:name="_Hlk191202368"/>
      <w:r w:rsidRPr="00090D35">
        <w:rPr>
          <w:rFonts w:ascii="Arial" w:hAnsi="Arial" w:cs="Arial"/>
          <w:sz w:val="24"/>
          <w:szCs w:val="24"/>
          <w:lang w:val="en-US"/>
        </w:rPr>
        <w:t>1) The customer determines the decision rule that best takes into account the risks of false acceptance and false rejection of the analysis result, the Laboratory notes in the analysis certificate that this decision rule is specified by the customer;</w:t>
      </w:r>
    </w:p>
    <w:p w14:paraId="18C12AB1" w14:textId="77777777" w:rsidR="00D37D84" w:rsidRPr="00090D35" w:rsidRDefault="00BF5CC7">
      <w:pPr>
        <w:tabs>
          <w:tab w:val="left" w:pos="0"/>
          <w:tab w:val="left" w:pos="1620"/>
        </w:tabs>
        <w:ind w:left="-567"/>
        <w:jc w:val="both"/>
        <w:rPr>
          <w:rFonts w:ascii="Arial" w:hAnsi="Arial" w:cs="Arial"/>
          <w:b/>
          <w:sz w:val="24"/>
          <w:szCs w:val="24"/>
          <w:lang w:val="en-US"/>
        </w:rPr>
      </w:pPr>
      <w:r w:rsidRPr="00090D35">
        <w:rPr>
          <w:rFonts w:ascii="Arial" w:hAnsi="Arial" w:cs="Arial"/>
          <w:sz w:val="24"/>
          <w:szCs w:val="24"/>
          <w:lang w:val="en-US"/>
        </w:rPr>
        <w:t>2) In the absence of a choice of decision rule by the customer, the Laboratory provides the analysis result and measurement uncertainty without a conclusion on compliance.</w:t>
      </w:r>
      <w:bookmarkEnd w:id="0"/>
    </w:p>
    <w:p w14:paraId="458F8285" w14:textId="77777777" w:rsidR="00D37D84" w:rsidRPr="001169B6" w:rsidRDefault="00BF5CC7">
      <w:pPr>
        <w:tabs>
          <w:tab w:val="left" w:pos="3416"/>
        </w:tabs>
        <w:spacing w:after="120"/>
        <w:ind w:left="-567"/>
        <w:jc w:val="both"/>
        <w:rPr>
          <w:rFonts w:ascii="Arial" w:hAnsi="Arial" w:cs="Arial"/>
          <w:sz w:val="22"/>
          <w:szCs w:val="22"/>
          <w:lang w:val="en-US"/>
        </w:rPr>
      </w:pPr>
      <w:r w:rsidRPr="001169B6">
        <w:rPr>
          <w:rFonts w:ascii="Arial" w:hAnsi="Arial" w:cs="Arial"/>
          <w:sz w:val="22"/>
          <w:szCs w:val="22"/>
          <w:lang w:val="en-US"/>
        </w:rPr>
        <w:tab/>
      </w:r>
    </w:p>
    <w:sectPr w:rsidR="00D37D84" w:rsidRPr="001169B6">
      <w:headerReference w:type="even" r:id="rId7"/>
      <w:headerReference w:type="default" r:id="rId8"/>
      <w:footerReference w:type="even" r:id="rId9"/>
      <w:footerReference w:type="default" r:id="rId10"/>
      <w:headerReference w:type="first" r:id="rId11"/>
      <w:footerReference w:type="first" r:id="rId12"/>
      <w:pgSz w:w="11906" w:h="16838"/>
      <w:pgMar w:top="624" w:right="567" w:bottom="567" w:left="1701" w:header="510" w:footer="51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88CE" w14:textId="77777777" w:rsidR="00CC6CFA" w:rsidRDefault="00BF5CC7">
      <w:r>
        <w:separator/>
      </w:r>
    </w:p>
  </w:endnote>
  <w:endnote w:type="continuationSeparator" w:id="0">
    <w:p w14:paraId="67BECFB4" w14:textId="77777777" w:rsidR="00CC6CFA" w:rsidRDefault="00BF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4466" w14:textId="77777777" w:rsidR="00090D35" w:rsidRDefault="00090D3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7ECF" w14:textId="77777777" w:rsidR="00D37D84" w:rsidRPr="00BF5CC7" w:rsidRDefault="00BF5CC7">
    <w:pPr>
      <w:pStyle w:val="ab"/>
      <w:rPr>
        <w:lang w:val="en-US"/>
      </w:rPr>
    </w:pPr>
    <w:r>
      <w:rPr>
        <w:rFonts w:ascii="Arial" w:hAnsi="Arial" w:cs="Arial"/>
        <w:lang w:val="uk-UA"/>
      </w:rPr>
      <w:t>I-02-SOP/S-4.4-02/D1, rev.01, comes into effect from: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9277" w14:textId="1054BAD3" w:rsidR="00D37D84" w:rsidRPr="00BF5CC7" w:rsidRDefault="00BF5CC7">
    <w:pPr>
      <w:pStyle w:val="ab"/>
      <w:ind w:left="-567"/>
      <w:rPr>
        <w:lang w:val="en-US"/>
      </w:rPr>
    </w:pPr>
    <w:r w:rsidRPr="00BF5CC7">
      <w:rPr>
        <w:rFonts w:ascii="Arial" w:hAnsi="Arial" w:cs="Arial"/>
        <w:b/>
        <w:bCs/>
        <w:sz w:val="18"/>
        <w:szCs w:val="18"/>
        <w:lang w:val="en-US"/>
      </w:rPr>
      <w:t>I-01-SOP/S-4.4-02/D1</w:t>
    </w:r>
    <w:r>
      <w:rPr>
        <w:rFonts w:ascii="Arial" w:hAnsi="Arial" w:cs="Arial"/>
        <w:b/>
        <w:sz w:val="18"/>
        <w:szCs w:val="18"/>
        <w:lang w:val="uk-UA"/>
      </w:rPr>
      <w:t xml:space="preserve">, </w:t>
    </w:r>
    <w:r w:rsidR="00090D35">
      <w:rPr>
        <w:rFonts w:ascii="Arial" w:hAnsi="Arial" w:cs="Arial"/>
        <w:b/>
        <w:sz w:val="18"/>
        <w:szCs w:val="18"/>
        <w:lang w:val="en-US"/>
      </w:rPr>
      <w:t>v</w:t>
    </w:r>
    <w:r>
      <w:rPr>
        <w:rFonts w:ascii="Arial" w:hAnsi="Arial" w:cs="Arial"/>
        <w:b/>
        <w:sz w:val="18"/>
        <w:szCs w:val="18"/>
        <w:lang w:val="uk-UA"/>
      </w:rPr>
      <w:t>. 02</w:t>
    </w:r>
    <w:r w:rsidR="00090D35">
      <w:rPr>
        <w:rFonts w:ascii="Arial" w:hAnsi="Arial" w:cs="Arial"/>
        <w:b/>
        <w:sz w:val="18"/>
        <w:szCs w:val="18"/>
        <w:lang w:val="en-US"/>
      </w:rPr>
      <w:t xml:space="preserve">   </w:t>
    </w:r>
    <w:r w:rsidR="00090D35">
      <w:rPr>
        <w:rFonts w:ascii="Arial" w:hAnsi="Arial" w:cs="Arial"/>
        <w:sz w:val="18"/>
        <w:szCs w:val="18"/>
        <w:lang w:val="en-US"/>
      </w:rPr>
      <w:t>effective date</w:t>
    </w:r>
    <w:r>
      <w:rPr>
        <w:rFonts w:ascii="Arial" w:hAnsi="Arial" w:cs="Arial"/>
        <w:sz w:val="18"/>
        <w:szCs w:val="18"/>
        <w:lang w:val="uk-UA"/>
      </w:rPr>
      <w:t>: 26.02.2025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50BC" w14:textId="77777777" w:rsidR="00CC6CFA" w:rsidRDefault="00BF5CC7">
      <w:r>
        <w:separator/>
      </w:r>
    </w:p>
  </w:footnote>
  <w:footnote w:type="continuationSeparator" w:id="0">
    <w:p w14:paraId="3E4D35D1" w14:textId="77777777" w:rsidR="00CC6CFA" w:rsidRDefault="00BF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70D9" w14:textId="77777777" w:rsidR="00090D35" w:rsidRDefault="00090D3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9" w:type="dxa"/>
      <w:tblInd w:w="-550" w:type="dxa"/>
      <w:tblLayout w:type="fixed"/>
      <w:tblLook w:val="04A0" w:firstRow="1" w:lastRow="0" w:firstColumn="1" w:lastColumn="0" w:noHBand="0" w:noVBand="1"/>
    </w:tblPr>
    <w:tblGrid>
      <w:gridCol w:w="2340"/>
      <w:gridCol w:w="6390"/>
      <w:gridCol w:w="1459"/>
    </w:tblGrid>
    <w:tr w:rsidR="00D37D84" w:rsidRPr="001169B6" w14:paraId="2B47801E" w14:textId="77777777">
      <w:trPr>
        <w:cantSplit/>
        <w:trHeight w:val="131"/>
      </w:trPr>
      <w:tc>
        <w:tcPr>
          <w:tcW w:w="10189" w:type="dxa"/>
          <w:gridSpan w:val="3"/>
          <w:tcBorders>
            <w:top w:val="single" w:sz="4" w:space="0" w:color="000000"/>
            <w:left w:val="single" w:sz="4" w:space="0" w:color="000000"/>
            <w:bottom w:val="single" w:sz="4" w:space="0" w:color="000000"/>
            <w:right w:val="single" w:sz="4" w:space="0" w:color="000000"/>
          </w:tcBorders>
        </w:tcPr>
        <w:p w14:paraId="2A376C6E" w14:textId="77777777" w:rsidR="00D37D84" w:rsidRPr="00BF5CC7" w:rsidRDefault="00BF5CC7">
          <w:pPr>
            <w:ind w:left="1091"/>
            <w:jc w:val="center"/>
            <w:rPr>
              <w:lang w:val="en-US"/>
            </w:rPr>
          </w:pPr>
          <w:r>
            <w:rPr>
              <w:rFonts w:ascii="Arial" w:hAnsi="Arial" w:cs="Arial"/>
              <w:lang w:val="uk-UA"/>
            </w:rPr>
            <w:t>SE "Central Laboratory for the Analysis of the Quality of Medicines and Medical Products"</w:t>
          </w:r>
        </w:p>
      </w:tc>
    </w:tr>
    <w:tr w:rsidR="00D37D84" w:rsidRPr="001169B6" w14:paraId="7D4826D8" w14:textId="77777777">
      <w:trPr>
        <w:cantSplit/>
        <w:trHeight w:val="322"/>
      </w:trPr>
      <w:tc>
        <w:tcPr>
          <w:tcW w:w="2340" w:type="dxa"/>
          <w:tcBorders>
            <w:top w:val="single" w:sz="4" w:space="0" w:color="000000"/>
            <w:left w:val="single" w:sz="4" w:space="0" w:color="000000"/>
            <w:bottom w:val="single" w:sz="4" w:space="0" w:color="000000"/>
            <w:right w:val="single" w:sz="4" w:space="0" w:color="000000"/>
          </w:tcBorders>
          <w:vAlign w:val="center"/>
        </w:tcPr>
        <w:p w14:paraId="710AD5AA" w14:textId="77777777" w:rsidR="00D37D84" w:rsidRDefault="00BF5CC7">
          <w:pPr>
            <w:jc w:val="center"/>
            <w:rPr>
              <w:rFonts w:ascii="Arial" w:hAnsi="Arial" w:cs="Arial"/>
              <w:b/>
              <w:lang w:val="uk-UA"/>
            </w:rPr>
          </w:pPr>
          <w:r>
            <w:rPr>
              <w:rFonts w:ascii="Arial" w:hAnsi="Arial" w:cs="Arial"/>
              <w:b/>
              <w:lang w:val="en-US"/>
            </w:rPr>
            <w:t>I-02-SOP/S-4.4-02/D1</w:t>
          </w:r>
        </w:p>
      </w:tc>
      <w:tc>
        <w:tcPr>
          <w:tcW w:w="6390" w:type="dxa"/>
          <w:tcBorders>
            <w:top w:val="single" w:sz="4" w:space="0" w:color="000000"/>
            <w:left w:val="single" w:sz="4" w:space="0" w:color="000000"/>
            <w:bottom w:val="single" w:sz="4" w:space="0" w:color="000000"/>
            <w:right w:val="single" w:sz="4" w:space="0" w:color="000000"/>
          </w:tcBorders>
          <w:vAlign w:val="center"/>
        </w:tcPr>
        <w:p w14:paraId="47B3C1A2" w14:textId="77777777" w:rsidR="00D37D84" w:rsidRDefault="00BF5CC7">
          <w:pPr>
            <w:jc w:val="center"/>
            <w:rPr>
              <w:rFonts w:ascii="Arial" w:hAnsi="Arial" w:cs="Arial"/>
              <w:b/>
              <w:lang w:val="uk-UA"/>
            </w:rPr>
          </w:pPr>
          <w:r>
            <w:rPr>
              <w:rFonts w:ascii="Arial" w:hAnsi="Arial" w:cs="Arial"/>
              <w:b/>
              <w:lang w:val="uk-UA"/>
            </w:rPr>
            <w:t>Procedure for selecting and applying a decision rule</w:t>
          </w:r>
        </w:p>
      </w:tc>
      <w:tc>
        <w:tcPr>
          <w:tcW w:w="1459" w:type="dxa"/>
          <w:tcBorders>
            <w:top w:val="single" w:sz="4" w:space="0" w:color="000000"/>
            <w:left w:val="single" w:sz="4" w:space="0" w:color="000000"/>
            <w:bottom w:val="single" w:sz="4" w:space="0" w:color="000000"/>
            <w:right w:val="single" w:sz="4" w:space="0" w:color="000000"/>
          </w:tcBorders>
          <w:vAlign w:val="center"/>
        </w:tcPr>
        <w:p w14:paraId="56184CD3" w14:textId="77777777" w:rsidR="00D37D84" w:rsidRDefault="00BF5CC7">
          <w:pPr>
            <w:ind w:left="35"/>
            <w:rPr>
              <w:rFonts w:ascii="Arial" w:hAnsi="Arial" w:cs="Arial"/>
              <w:lang w:val="uk-UA"/>
            </w:rPr>
          </w:pPr>
          <w:r>
            <w:rPr>
              <w:rFonts w:ascii="Arial" w:eastAsia="Arial" w:hAnsi="Arial" w:cs="Arial"/>
              <w:lang w:val="uk-UA" w:eastAsia="en-US"/>
            </w:rPr>
            <w:t xml:space="preserve"> </w:t>
          </w:r>
        </w:p>
      </w:tc>
    </w:tr>
    <w:tr w:rsidR="00D37D84" w14:paraId="4D6042DC" w14:textId="77777777">
      <w:trPr>
        <w:cantSplit/>
        <w:trHeight w:val="346"/>
      </w:trPr>
      <w:tc>
        <w:tcPr>
          <w:tcW w:w="2340" w:type="dxa"/>
          <w:tcBorders>
            <w:top w:val="single" w:sz="4" w:space="0" w:color="000000"/>
            <w:left w:val="single" w:sz="4" w:space="0" w:color="000000"/>
            <w:bottom w:val="single" w:sz="4" w:space="0" w:color="000000"/>
            <w:right w:val="single" w:sz="4" w:space="0" w:color="000000"/>
          </w:tcBorders>
          <w:vAlign w:val="center"/>
        </w:tcPr>
        <w:p w14:paraId="540737C2" w14:textId="77777777" w:rsidR="00D37D84" w:rsidRDefault="00BF5CC7">
          <w:pPr>
            <w:jc w:val="center"/>
            <w:rPr>
              <w:rFonts w:ascii="Arial" w:hAnsi="Arial" w:cs="Arial"/>
              <w:lang w:val="en-US"/>
            </w:rPr>
          </w:pPr>
          <w:r>
            <w:rPr>
              <w:rFonts w:ascii="Arial" w:hAnsi="Arial" w:cs="Arial"/>
              <w:lang w:val="uk-UA"/>
            </w:rPr>
            <w:t>Editorial - 02</w:t>
          </w:r>
        </w:p>
      </w:tc>
      <w:tc>
        <w:tcPr>
          <w:tcW w:w="6390" w:type="dxa"/>
          <w:tcBorders>
            <w:top w:val="single" w:sz="4" w:space="0" w:color="000000"/>
            <w:left w:val="single" w:sz="4" w:space="0" w:color="000000"/>
            <w:bottom w:val="single" w:sz="4" w:space="0" w:color="000000"/>
            <w:right w:val="single" w:sz="4" w:space="0" w:color="000000"/>
          </w:tcBorders>
          <w:vAlign w:val="center"/>
        </w:tcPr>
        <w:p w14:paraId="33F30118" w14:textId="77777777" w:rsidR="00D37D84" w:rsidRDefault="00BF5CC7">
          <w:pPr>
            <w:pStyle w:val="ad"/>
            <w:spacing w:line="240" w:lineRule="auto"/>
            <w:ind w:left="72"/>
            <w:jc w:val="center"/>
            <w:rPr>
              <w:b/>
              <w:sz w:val="20"/>
              <w:szCs w:val="20"/>
              <w:lang w:val="uk-UA"/>
            </w:rPr>
          </w:pPr>
          <w:r>
            <w:rPr>
              <w:b/>
              <w:sz w:val="20"/>
              <w:szCs w:val="20"/>
            </w:rPr>
            <w:t>Decision rule statement</w:t>
          </w:r>
        </w:p>
      </w:tc>
      <w:tc>
        <w:tcPr>
          <w:tcW w:w="1459" w:type="dxa"/>
          <w:tcBorders>
            <w:top w:val="single" w:sz="4" w:space="0" w:color="000000"/>
            <w:left w:val="single" w:sz="4" w:space="0" w:color="000000"/>
            <w:bottom w:val="single" w:sz="4" w:space="0" w:color="000000"/>
            <w:right w:val="single" w:sz="4" w:space="0" w:color="000000"/>
          </w:tcBorders>
          <w:vAlign w:val="center"/>
        </w:tcPr>
        <w:p w14:paraId="0C7DB39D" w14:textId="77777777" w:rsidR="00D37D84" w:rsidRDefault="00BF5CC7">
          <w:pPr>
            <w:ind w:left="35"/>
            <w:jc w:val="both"/>
            <w:rPr>
              <w:rFonts w:ascii="Arial" w:hAnsi="Arial" w:cs="Arial"/>
              <w:lang w:val="uk-UA"/>
            </w:rPr>
          </w:pPr>
          <w:r>
            <w:rPr>
              <w:rFonts w:ascii="Arial" w:hAnsi="Arial" w:cs="Arial"/>
              <w:lang w:val="uk-UA"/>
            </w:rPr>
            <w:t>Page.</w:t>
          </w:r>
          <w:r>
            <w:rPr>
              <w:rFonts w:ascii="Arial" w:hAnsi="Arial" w:cs="Arial"/>
              <w:lang w:val="uk-UA"/>
            </w:rPr>
            <w:fldChar w:fldCharType="begin"/>
          </w:r>
          <w:r>
            <w:rPr>
              <w:rFonts w:ascii="Arial" w:hAnsi="Arial" w:cs="Arial"/>
              <w:lang w:val="uk-UA"/>
            </w:rPr>
            <w:instrText>PAGE</w:instrText>
          </w:r>
          <w:r>
            <w:rPr>
              <w:rFonts w:ascii="Arial" w:hAnsi="Arial" w:cs="Arial"/>
              <w:lang w:val="uk-UA"/>
            </w:rPr>
            <w:fldChar w:fldCharType="separate"/>
          </w:r>
          <w:r>
            <w:rPr>
              <w:rFonts w:ascii="Arial" w:hAnsi="Arial" w:cs="Arial"/>
              <w:lang w:val="uk-UA"/>
            </w:rPr>
            <w:t>2</w:t>
          </w:r>
          <w:r>
            <w:rPr>
              <w:rFonts w:ascii="Arial" w:hAnsi="Arial" w:cs="Arial"/>
              <w:lang w:val="uk-UA"/>
            </w:rPr>
            <w:fldChar w:fldCharType="end"/>
          </w:r>
          <w:r>
            <w:rPr>
              <w:rFonts w:ascii="Arial" w:hAnsi="Arial" w:cs="Arial"/>
            </w:rPr>
            <w:t>from</w:t>
          </w:r>
          <w:r>
            <w:rPr>
              <w:rFonts w:ascii="Arial" w:hAnsi="Arial" w:cs="Arial"/>
              <w:lang w:val="uk-UA"/>
            </w:rPr>
            <w:fldChar w:fldCharType="begin"/>
          </w:r>
          <w:r>
            <w:rPr>
              <w:rFonts w:ascii="Arial" w:hAnsi="Arial" w:cs="Arial"/>
              <w:lang w:val="uk-UA"/>
            </w:rPr>
            <w:instrText>NUMPAGES \* ARABIC</w:instrText>
          </w:r>
          <w:r>
            <w:rPr>
              <w:rFonts w:ascii="Arial" w:hAnsi="Arial" w:cs="Arial"/>
              <w:lang w:val="uk-UA"/>
            </w:rPr>
            <w:fldChar w:fldCharType="separate"/>
          </w:r>
          <w:r>
            <w:rPr>
              <w:rFonts w:ascii="Arial" w:hAnsi="Arial" w:cs="Arial"/>
              <w:lang w:val="uk-UA"/>
            </w:rPr>
            <w:t>2</w:t>
          </w:r>
          <w:r>
            <w:rPr>
              <w:rFonts w:ascii="Arial" w:hAnsi="Arial" w:cs="Arial"/>
              <w:lang w:val="uk-UA"/>
            </w:rPr>
            <w:fldChar w:fldCharType="end"/>
          </w:r>
        </w:p>
      </w:tc>
    </w:tr>
  </w:tbl>
  <w:p w14:paraId="00F1CDF0" w14:textId="77777777" w:rsidR="00D37D84" w:rsidRDefault="00D37D84">
    <w:pPr>
      <w:pStyle w:val="aa"/>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0216" w14:textId="77777777" w:rsidR="00090D35" w:rsidRDefault="00090D3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4F4E"/>
    <w:multiLevelType w:val="multilevel"/>
    <w:tmpl w:val="647C459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84"/>
    <w:rsid w:val="00090D35"/>
    <w:rsid w:val="001169B6"/>
    <w:rsid w:val="00482671"/>
    <w:rsid w:val="00BF5CC7"/>
    <w:rsid w:val="00CC6CFA"/>
    <w:rsid w:val="00D37D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348D"/>
  <w15:docId w15:val="{05F923F7-1EF9-494A-B2C8-220BCFA3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pPr>
    <w:rPr>
      <w:rFonts w:ascii="Times New Roman" w:eastAsia="Times New Roman" w:hAnsi="Times New Roman" w:cs="Times New Roman"/>
      <w:sz w:val="20"/>
      <w:szCs w:val="20"/>
      <w:lang w:val="ru-RU" w:bidi="ar-SA"/>
    </w:rPr>
  </w:style>
  <w:style w:type="paragraph" w:styleId="1">
    <w:name w:val="heading 1"/>
    <w:basedOn w:val="a"/>
    <w:next w:val="a"/>
    <w:uiPriority w:val="9"/>
    <w:qFormat/>
    <w:pPr>
      <w:keepNext/>
      <w:numPr>
        <w:numId w:val="1"/>
      </w:numPr>
      <w:ind w:right="-428"/>
      <w:jc w:val="both"/>
      <w:outlineLvl w:val="0"/>
    </w:pPr>
    <w:rPr>
      <w:sz w:val="28"/>
      <w:lang w:val="uk-UA"/>
    </w:rPr>
  </w:style>
  <w:style w:type="paragraph" w:styleId="2">
    <w:name w:val="heading 2"/>
    <w:basedOn w:val="a"/>
    <w:next w:val="a"/>
    <w:uiPriority w:val="9"/>
    <w:semiHidden/>
    <w:unhideWhenUsed/>
    <w:qFormat/>
    <w:pPr>
      <w:keepNext/>
      <w:numPr>
        <w:ilvl w:val="1"/>
        <w:numId w:val="1"/>
      </w:numPr>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rial" w:eastAsia="Times New Roman"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Arial" w:eastAsia="Times New Roman"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Arial"/>
      <w:b/>
      <w: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styleId="a3">
    <w:name w:val="page number"/>
    <w:basedOn w:val="a0"/>
  </w:style>
  <w:style w:type="character" w:customStyle="1" w:styleId="apple-converted-space">
    <w:name w:val="apple-converted-space"/>
    <w:basedOn w:val="a0"/>
    <w:qFormat/>
  </w:style>
  <w:style w:type="character" w:customStyle="1" w:styleId="3">
    <w:name w:val="Основной текст 3 Знак"/>
    <w:qFormat/>
    <w:rPr>
      <w:sz w:val="16"/>
      <w:szCs w:val="16"/>
    </w:rPr>
  </w:style>
  <w:style w:type="character" w:styleId="a4">
    <w:name w:val="Hyperlink"/>
    <w:rPr>
      <w:color w:val="0000FF"/>
      <w:u w:val="single"/>
    </w:rPr>
  </w:style>
  <w:style w:type="character" w:customStyle="1" w:styleId="a5">
    <w:name w:val="Название Знак"/>
    <w:qFormat/>
    <w:rPr>
      <w:sz w:val="24"/>
      <w:lang w:val="uk-UA"/>
    </w:rPr>
  </w:style>
  <w:style w:type="paragraph" w:customStyle="1" w:styleId="Heading">
    <w:name w:val="Heading"/>
    <w:basedOn w:val="a"/>
    <w:next w:val="a6"/>
    <w:qFormat/>
    <w:pPr>
      <w:jc w:val="center"/>
    </w:pPr>
    <w:rPr>
      <w:sz w:val="24"/>
      <w:lang w:val="uk-UA"/>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9">
    <w:name w:val="Body Text Indent"/>
    <w:basedOn w:val="a"/>
    <w:pPr>
      <w:ind w:firstLine="720"/>
      <w:jc w:val="both"/>
    </w:pPr>
    <w:rPr>
      <w:sz w:val="28"/>
      <w:lang w:val="uk-UA"/>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Balloon Text"/>
    <w:basedOn w:val="a"/>
    <w:qFormat/>
    <w:rPr>
      <w:rFonts w:ascii="Tahoma" w:hAnsi="Tahoma" w:cs="Tahoma"/>
      <w:sz w:val="16"/>
      <w:szCs w:val="16"/>
    </w:rPr>
  </w:style>
  <w:style w:type="paragraph" w:styleId="30">
    <w:name w:val="Body Text 3"/>
    <w:basedOn w:val="a"/>
    <w:qFormat/>
    <w:pPr>
      <w:spacing w:after="120"/>
    </w:pPr>
    <w:rPr>
      <w:sz w:val="16"/>
      <w:szCs w:val="16"/>
    </w:rPr>
  </w:style>
  <w:style w:type="paragraph" w:styleId="ad">
    <w:name w:val="List Paragraph"/>
    <w:basedOn w:val="a"/>
    <w:qFormat/>
    <w:pPr>
      <w:spacing w:line="276" w:lineRule="auto"/>
      <w:ind w:left="720"/>
      <w:contextualSpacing/>
    </w:pPr>
    <w:rPr>
      <w:rFonts w:ascii="Arial" w:eastAsia="Arial" w:hAnsi="Arial" w:cs="Arial"/>
      <w:sz w:val="22"/>
      <w:szCs w:val="2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2091</Words>
  <Characters>1193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Тетяна Манілевич</cp:lastModifiedBy>
  <cp:revision>3</cp:revision>
  <dcterms:created xsi:type="dcterms:W3CDTF">2025-03-20T14:20:00Z</dcterms:created>
  <dcterms:modified xsi:type="dcterms:W3CDTF">2025-03-20T14:48:00Z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2025-03-20T13:50:00Z</dcterms:created>
  <dc:creator>АдминОтдел</dc:creator>
  <dc:description/>
  <cp:keywords> </cp:keywords>
  <dc:language>en-US</dc:language>
  <cp:lastModifiedBy>Тетяна Манілевич</cp:lastModifiedBy>
  <cp:lastPrinted>2021-04-14T12:32:00Z</cp:lastPrinted>
  <dcterms:modified xsi:type="dcterms:W3CDTF">2025-03-20T13:50:00Z</dcterms:modified>
  <cp:revision>2</cp:revision>
  <dc:subject/>
  <dc:title>А К Т</dc:title>
</cp:coreProperties>
</file>